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Методика проведения деловой игры</w:t>
        <w:br/>
        <w:t>«Организация информирования и консультирования населения</w:t>
        <w:br/>
        <w:t>по вопросам гражданской обороны»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1" w:val="left"/>
        </w:tabs>
        <w:bidi w:val="0"/>
        <w:spacing w:before="0" w:after="0"/>
        <w:ind w:left="0" w:right="0" w:firstLine="0"/>
        <w:jc w:val="center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</w:rPr>
        <w:t>Основные положения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Деловая игра - это имитация рабочего процесса и его моделирование. Она представляет собой последовательность действий, которые игроки должны выполнить для достижения определенного результата. Деловая игра создает условия, в которых участники могут экспериментировать с различными решениями, не опасаясь негативных последствий. Она позволяет обучаемым оценить свой уровень знаний и научиться эффективно взаимодействовать с другими людьми.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Практика образовательного процесса и проведенные исследования показывают, что если степень усвоения учебного материала на лекциях составляет - от 20 до 50%, на семинарах - до 70%, то в ходе проведения деловых игр - до 90% (рисунок 1).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187950" cy="20605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87950" cy="2060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Рис.1. Степень усвоения учебного материала обучающимися в зависимости от вида занятия</w:t>
      </w:r>
    </w:p>
    <w:p>
      <w:pPr>
        <w:widowControl w:val="0"/>
        <w:spacing w:after="2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Данная форма обучения побуждает интерес слушателей к активному участию в учебном процессе. Она объединяет в единый комплекс знания, умения и навыки, приобретенные в ходе повседневной деятельности и в процессе обучения (рисунок 2).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целом деловая игра способствует: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22" w:val="left"/>
        </w:tabs>
        <w:bidi w:val="0"/>
        <w:spacing w:before="0" w:after="0"/>
        <w:ind w:left="0" w:right="0" w:firstLine="7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эффективному усвоению учебного материала;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22" w:val="left"/>
        </w:tabs>
        <w:bidi w:val="0"/>
        <w:spacing w:before="0" w:after="0"/>
        <w:ind w:left="0" w:right="0" w:firstLine="7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осуществлению обратной связи;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07" w:val="left"/>
        </w:tabs>
        <w:bidi w:val="0"/>
        <w:spacing w:before="0" w:after="0"/>
        <w:ind w:left="0" w:right="0" w:firstLine="7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развитию самостоятельности принятия решений и ответственности за их реализацию;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22" w:val="left"/>
        </w:tabs>
        <w:bidi w:val="0"/>
        <w:spacing w:before="0" w:after="300"/>
        <w:ind w:left="0" w:right="0" w:firstLine="7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совершенствованию профессиональных компетенций.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1594485" distL="0" distR="69850" simplePos="0" relativeHeight="125829378" behindDoc="0" locked="0" layoutInCell="1" allowOverlap="1">
            <wp:simplePos x="0" y="0"/>
            <wp:positionH relativeFrom="page">
              <wp:posOffset>1125220</wp:posOffset>
            </wp:positionH>
            <wp:positionV relativeFrom="paragraph">
              <wp:posOffset>0</wp:posOffset>
            </wp:positionV>
            <wp:extent cx="4096385" cy="1207135"/>
            <wp:wrapTopAndBottom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096385" cy="12071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1316990</wp:posOffset>
                </wp:positionV>
                <wp:extent cx="1136650" cy="13081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65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Познавательная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93.150000000000006pt;margin-top:103.7pt;width:89.5pt;height:10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Познавательная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1560830</wp:posOffset>
                </wp:positionV>
                <wp:extent cx="1136650" cy="713105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650" cy="713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приобретение и закрепление профессиональных умений и навыков по специальности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93.150000000000006pt;margin-top:122.90000000000001pt;width:89.5pt;height:56.1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приобретение и закрепление профессиональных умений и навыков по специальности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1316990</wp:posOffset>
                </wp:positionV>
                <wp:extent cx="1313815" cy="146050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381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Исследовательская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1.40000000000001pt;margin-top:103.7pt;width:103.45pt;height:11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Исследовательская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1588135</wp:posOffset>
                </wp:positionV>
                <wp:extent cx="1313815" cy="1124585"/>
                <wp:wrapNone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3815" cy="1124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накопление статистического материала для последующей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выработки необходимых решений в профессиональной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01.40000000000001pt;margin-top:125.05pt;width:103.45pt;height:88.549999999999997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накопление статистического материала для последующей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выработки необходимых решений в профессиональной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деятельности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1316990</wp:posOffset>
                </wp:positionV>
                <wp:extent cx="1207135" cy="130810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Воспитательная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21.65000000000003pt;margin-top:103.7pt;width:95.049999999999997pt;height:10.30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Воспитательная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1588135</wp:posOffset>
                </wp:positionV>
                <wp:extent cx="1207135" cy="1124585"/>
                <wp:wrapNone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1124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возможность превращения знаний в убеждения и в мировоззрение обучаемых, изучение их морально</w:t>
                              <w:softHyphen/>
                              <w:t>профессиональных качеств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21.65000000000003pt;margin-top:125.05pt;width:95.049999999999997pt;height:88.549999999999997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возможность превращения знаний в убеждения и в мировоззрение обучаемых, изучение их морально</w:t>
                        <w:softHyphen/>
                        <w:t>профессиональных качеств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1600200" distL="57785" distR="158750" simplePos="0" relativeHeight="125829379" behindDoc="0" locked="0" layoutInCell="1" allowOverlap="1">
            <wp:simplePos x="0" y="0"/>
            <wp:positionH relativeFrom="page">
              <wp:posOffset>5511165</wp:posOffset>
            </wp:positionH>
            <wp:positionV relativeFrom="paragraph">
              <wp:posOffset>0</wp:posOffset>
            </wp:positionV>
            <wp:extent cx="1090930" cy="1200785"/>
            <wp:wrapTopAndBottom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90930" cy="12007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5453380</wp:posOffset>
                </wp:positionH>
                <wp:positionV relativeFrom="paragraph">
                  <wp:posOffset>1316990</wp:posOffset>
                </wp:positionV>
                <wp:extent cx="1307465" cy="161290"/>
                <wp:wrapNone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746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Функция контроля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29.40000000000003pt;margin-top:103.7pt;width:102.95pt;height:12.700000000000001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Функция контроля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5453380</wp:posOffset>
                </wp:positionH>
                <wp:positionV relativeFrom="paragraph">
                  <wp:posOffset>1588135</wp:posOffset>
                </wp:positionV>
                <wp:extent cx="1307465" cy="688975"/>
                <wp:wrapNone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7465" cy="688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возможность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определения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содержания, глубины и систематичности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процесса обучения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29.40000000000003pt;margin-top:125.05pt;width:102.95pt;height:54.25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возможность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определения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содержания, глубины и систематичности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процесса обучения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Рисунок 2 - Функции деловой игры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Подготовка к деловой игре предполагает: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уяснение исходных данных для разработки деловой игры;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5" w:val="left"/>
        </w:tabs>
        <w:bidi w:val="0"/>
        <w:spacing w:before="0" w:after="0"/>
        <w:ind w:left="0" w:right="0" w:firstLine="7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разработку документов для проведения деловой игры, игровых форм и атрибутов;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организацию материального, технического и других видов обеспечения;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контроль и оказание помощи игрокам (обучаемым).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проведении деловой игры действия обучаемых должны отрабатываться на учебных картах местности с учетом обстановки, которая может сложиться на территории муниципального образования при возникновении ЧС различного характера.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проведении деловой игры организаторы и посредники не должны допускать (рисунок 3):</w:t>
      </w:r>
    </w:p>
    <w:p>
      <w:pPr>
        <w:widowControl w:val="0"/>
        <w:spacing w:line="1" w:lineRule="exact"/>
      </w:pPr>
      <w:r>
        <w:drawing>
          <wp:anchor distT="127000" distB="408305" distL="0" distR="0" simplePos="0" relativeHeight="125829380" behindDoc="0" locked="0" layoutInCell="1" allowOverlap="1">
            <wp:simplePos x="0" y="0"/>
            <wp:positionH relativeFrom="page">
              <wp:posOffset>1499870</wp:posOffset>
            </wp:positionH>
            <wp:positionV relativeFrom="paragraph">
              <wp:posOffset>127000</wp:posOffset>
            </wp:positionV>
            <wp:extent cx="4913630" cy="1517650"/>
            <wp:wrapTopAndBottom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913630" cy="15176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2313940</wp:posOffset>
                </wp:positionH>
                <wp:positionV relativeFrom="paragraph">
                  <wp:posOffset>1855470</wp:posOffset>
                </wp:positionV>
                <wp:extent cx="3288665" cy="194945"/>
                <wp:wrapNone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8866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Рисунок 3 - Ошибки организаторов деловой игры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82.20000000000002pt;margin-top:146.09999999999999pt;width:258.94999999999999pt;height:15.35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Рисунок 3 - Ошибки организаторов деловой игры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проведении игры рекомендуется соблюдать следующие общие принципы (рисунок 4).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173" w:lineRule="auto"/>
        <w:ind w:left="0" w:right="0" w:firstLine="0"/>
        <w:jc w:val="both"/>
      </w:pP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1373505</wp:posOffset>
            </wp:positionH>
            <wp:positionV relativeFrom="margin">
              <wp:posOffset>838200</wp:posOffset>
            </wp:positionV>
            <wp:extent cx="2663825" cy="3334385"/>
            <wp:wrapSquare wrapText="right"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663825" cy="33343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 xml:space="preserve">полное погружение участников </w:t>
      </w:r>
      <w:r>
        <w:rPr>
          <w:color w:val="7F7F7F"/>
          <w:spacing w:val="0"/>
          <w:w w:val="100"/>
          <w:position w:val="0"/>
        </w:rPr>
        <w:t xml:space="preserve">. </w:t>
      </w:r>
      <w:r>
        <w:rPr>
          <w:color w:val="000000"/>
          <w:spacing w:val="0"/>
          <w:w w:val="100"/>
          <w:position w:val="0"/>
        </w:rPr>
        <w:t>в проблематику игры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16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сбалансированность игровой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8" w:val="left"/>
        </w:tabs>
        <w:bidi w:val="0"/>
        <w:spacing w:before="0" w:after="360" w:line="168" w:lineRule="auto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деятельности («серьезность» и «условность»)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58" w:val="left"/>
        </w:tabs>
        <w:bidi w:val="0"/>
        <w:spacing w:before="0" w:after="480" w:line="170" w:lineRule="auto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вариативность решений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позитивная психологическая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17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’ поддержка участников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58" w:val="left"/>
        </w:tabs>
        <w:bidi w:val="0"/>
        <w:spacing w:before="0" w:after="560" w:line="170" w:lineRule="auto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методическая гибкость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. управляемость ходом игры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Рисунок 4 - Общие принципы проведения деловой игры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15" w:val="left"/>
        </w:tabs>
        <w:bidi w:val="0"/>
        <w:spacing w:before="0" w:after="360"/>
        <w:ind w:left="0" w:right="0" w:firstLine="0"/>
        <w:jc w:val="center"/>
      </w:pPr>
      <w:bookmarkStart w:id="12" w:name="bookmark12"/>
      <w:bookmarkEnd w:id="12"/>
      <w:r>
        <w:rPr>
          <w:b/>
          <w:bCs/>
          <w:color w:val="000000"/>
          <w:spacing w:val="0"/>
          <w:w w:val="100"/>
          <w:position w:val="0"/>
        </w:rPr>
        <w:t>Замысел проведения деловой игры</w:t>
        <w:br/>
        <w:t>«Организация информирования и консультирования населения</w:t>
        <w:br/>
        <w:t>по вопросам гражданской обороны»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</w:rPr>
        <w:t xml:space="preserve">Учебная цель: </w:t>
      </w:r>
      <w:r>
        <w:rPr>
          <w:color w:val="000000"/>
          <w:spacing w:val="0"/>
          <w:w w:val="100"/>
          <w:position w:val="0"/>
        </w:rPr>
        <w:t>отработка навыков действий сотрудников УКП ГО и ЧС при проведении консультирования населения по вопросам гражданской обороны и защиты от чрезвычайных ситуаций.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both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</w:rPr>
        <w:t>Учебные вопросы:</w:t>
      </w:r>
      <w:bookmarkEnd w:id="13"/>
      <w:bookmarkEnd w:id="14"/>
      <w:bookmarkEnd w:id="15"/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88" w:val="left"/>
        </w:tabs>
        <w:bidi w:val="0"/>
        <w:spacing w:before="0" w:after="0"/>
        <w:ind w:left="0" w:right="0" w:firstLine="72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Особенности консультирования населения по вопросам эвакуации в безопасные районы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02" w:val="left"/>
          <w:tab w:pos="2930" w:val="left"/>
          <w:tab w:pos="5556" w:val="left"/>
          <w:tab w:pos="7169" w:val="left"/>
          <w:tab w:pos="7922" w:val="left"/>
        </w:tabs>
        <w:bidi w:val="0"/>
        <w:spacing w:before="0" w:after="0"/>
        <w:ind w:left="0" w:right="0" w:firstLine="72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Особенности</w:t>
        <w:tab/>
        <w:t>консультирования</w:t>
        <w:tab/>
        <w:t>населения</w:t>
        <w:tab/>
        <w:t>по</w:t>
        <w:tab/>
        <w:t>вопросам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предоставления средств индивидуальной защиты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02" w:val="left"/>
          <w:tab w:pos="2930" w:val="left"/>
          <w:tab w:pos="5556" w:val="left"/>
          <w:tab w:pos="7169" w:val="left"/>
          <w:tab w:pos="7922" w:val="left"/>
        </w:tabs>
        <w:bidi w:val="0"/>
        <w:spacing w:before="0" w:after="0"/>
        <w:ind w:left="0" w:right="0" w:firstLine="72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Особенности</w:t>
        <w:tab/>
        <w:t>консультирования</w:t>
        <w:tab/>
        <w:t>населения</w:t>
        <w:tab/>
        <w:t>по</w:t>
        <w:tab/>
        <w:t>вопросам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предоставления средств коллективной защиты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both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</w:rPr>
        <w:t xml:space="preserve">Время проведения: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90 минут</w:t>
      </w:r>
      <w:bookmarkEnd w:id="19"/>
      <w:bookmarkEnd w:id="20"/>
      <w:bookmarkEnd w:id="2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72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</w:rPr>
        <w:t xml:space="preserve">Место проведения: </w:t>
      </w:r>
      <w:r>
        <w:rPr>
          <w:color w:val="000000"/>
          <w:spacing w:val="0"/>
          <w:w w:val="100"/>
          <w:position w:val="0"/>
        </w:rPr>
        <w:t>учебная аудитория.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</w:rPr>
        <w:t xml:space="preserve">Материально-техническое обеспечение: </w:t>
      </w:r>
      <w:r>
        <w:rPr>
          <w:color w:val="000000"/>
          <w:spacing w:val="0"/>
          <w:w w:val="100"/>
          <w:position w:val="0"/>
        </w:rPr>
        <w:t>ПК, экран; проектор; типовые алгоритмы проведения консультационной работы с населением по вопросам гражданской обороны; учебные карты муниципального образования, справочная информация; учебные задания (вопросы) для персонажей игры, которые разрабатываются с учетом особенностей субъекта Российской Федерации и/или муниципального образования.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72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</w:rPr>
        <w:t xml:space="preserve">Общий замысел </w:t>
      </w:r>
      <w:r>
        <w:rPr>
          <w:color w:val="000000"/>
          <w:spacing w:val="0"/>
          <w:w w:val="100"/>
          <w:position w:val="0"/>
        </w:rPr>
        <w:t>отработки учебных вопросов представлен на рисунке 5.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center"/>
      </w:pPr>
      <w:r>
        <w:drawing>
          <wp:anchor distT="0" distB="12065" distL="0" distR="0" simplePos="0" relativeHeight="125829382" behindDoc="0" locked="0" layoutInCell="1" allowOverlap="1">
            <wp:simplePos x="0" y="0"/>
            <wp:positionH relativeFrom="page">
              <wp:posOffset>1277620</wp:posOffset>
            </wp:positionH>
            <wp:positionV relativeFrom="margin">
              <wp:posOffset>2118360</wp:posOffset>
            </wp:positionV>
            <wp:extent cx="2724785" cy="3005455"/>
            <wp:wrapSquare wrapText="right"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724785" cy="30054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2176780</wp:posOffset>
                </wp:positionH>
                <wp:positionV relativeFrom="margin">
                  <wp:posOffset>4992370</wp:posOffset>
                </wp:positionV>
                <wp:extent cx="1106170" cy="140335"/>
                <wp:wrapNone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2 группа обучаемых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71.40000000000001pt;margin-top:393.10000000000002pt;width:87.100000000000009pt;height:11.050000000000001pt;z-index:25165774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2 группа обучаемых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2061210</wp:posOffset>
                </wp:positionH>
                <wp:positionV relativeFrom="margin">
                  <wp:posOffset>4624070</wp:posOffset>
                </wp:positionV>
                <wp:extent cx="1852930" cy="267970"/>
                <wp:wrapNone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293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5A9BD5"/>
                                <w:left w:val="single" w:sz="0" w:space="0" w:color="5A9BD5"/>
                                <w:bottom w:val="single" w:sz="0" w:space="0" w:color="5A9BD5"/>
                                <w:right w:val="single" w:sz="0" w:space="0" w:color="5A9BD5"/>
                              </w:pBdr>
                              <w:shd w:val="clear" w:color="auto" w:fill="5A9BD5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</w:rPr>
                              <w:t>НАСЕЛЕНИЕ МУНИЦИПАЛЬНОГО ОБРАЗОВАНИЯ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62.30000000000001pt;margin-top:364.10000000000002pt;width:145.90000000000001pt;height:21.100000000000001pt;z-index:25165774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A9BD5"/>
                          <w:left w:val="single" w:sz="0" w:space="0" w:color="5A9BD5"/>
                          <w:bottom w:val="single" w:sz="0" w:space="0" w:color="5A9BD5"/>
                          <w:right w:val="single" w:sz="0" w:space="0" w:color="5A9BD5"/>
                        </w:pBdr>
                        <w:shd w:val="clear" w:color="auto" w:fill="5A9BD5"/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НАСЕЛЕНИЕ МУНИЦИПАЛЬНОГО ОБРАЗОВАНИЯ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</w:rPr>
        <w:t>Организация консультирования населения</w:t>
        <w:br/>
        <w:t>в соответствии с Алгоритмами действий</w:t>
      </w:r>
    </w:p>
    <w:p>
      <w:pPr>
        <w:pStyle w:val="Style1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2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Основная задача: </w:t>
      </w:r>
      <w:r>
        <w:rPr>
          <w:color w:val="000000"/>
          <w:spacing w:val="0"/>
          <w:w w:val="100"/>
          <w:position w:val="0"/>
        </w:rPr>
        <w:t>Предоставить полную (достоверную) информацию по заданному вопросу. Добиться понимания и уяснения обучаемым порядка своих действий.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Общение с сотрудниками УКП ГО и ЧС в</w:t>
        <w:br/>
        <w:t>соответствии с вопросами Деловой игры</w:t>
      </w:r>
    </w:p>
    <w:p>
      <w:pPr>
        <w:pStyle w:val="Style1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Основная цель: </w:t>
      </w:r>
      <w:r>
        <w:rPr>
          <w:color w:val="000000"/>
          <w:spacing w:val="0"/>
          <w:w w:val="100"/>
          <w:position w:val="0"/>
        </w:rPr>
        <w:t>Получить полную (достоверную) информацию от сотрудника УКП ГО и ЧС по заданному вопросу. Уяснить свои действия.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Рисунок 5 - Общий замысел отработки учебных вопросов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Типовые алгоритмы проведения консультационной работы с населением по вопросам ГО и защиты от ЧС, пример учебной карты и учебных заданий (вопросов) для персонажей игры представлены в приложениях А, Б, В к Методике проведения деловой игры.</w:t>
      </w:r>
    </w:p>
    <w:sectPr>
      <w:footnotePr>
        <w:pos w:val="pageBottom"/>
        <w:numFmt w:val="decimal"/>
        <w:numRestart w:val="continuous"/>
      </w:footnotePr>
      <w:pgSz w:w="11900" w:h="16840"/>
      <w:pgMar w:top="1130" w:right="1099" w:bottom="1177" w:left="1666" w:header="702" w:footer="7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F7F7F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9">
    <w:name w:val="Основной текст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3">
    <w:name w:val="Основной текст (3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17">
    <w:name w:val="Заголовок №1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0">
    <w:name w:val="Основной текст (2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  <w:spacing w:line="252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auto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2">
    <w:name w:val="Основной текст (3)"/>
    <w:basedOn w:val="Normal"/>
    <w:link w:val="CharStyle13"/>
    <w:pPr>
      <w:widowControl w:val="0"/>
      <w:shd w:val="clear" w:color="auto" w:fill="auto"/>
      <w:spacing w:after="66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16">
    <w:name w:val="Заголовок №1"/>
    <w:basedOn w:val="Normal"/>
    <w:link w:val="CharStyle17"/>
    <w:pPr>
      <w:widowControl w:val="0"/>
      <w:shd w:val="clear" w:color="auto" w:fill="auto"/>
      <w:spacing w:line="276" w:lineRule="auto"/>
      <w:ind w:firstLine="7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9">
    <w:name w:val="Основной текст (2)"/>
    <w:basedOn w:val="Normal"/>
    <w:link w:val="CharStyle20"/>
    <w:pPr>
      <w:widowControl w:val="0"/>
      <w:shd w:val="clear" w:color="auto" w:fill="auto"/>
      <w:spacing w:after="50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Невелева Светлана Владимировна</dc:creator>
  <cp:keywords/>
</cp:coreProperties>
</file>