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E2C" w:rsidRDefault="00B7115B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МИНИСТЕРСТВО РОССИЙСКОЙ ФЕДЕРАЦИИ</w:t>
      </w:r>
    </w:p>
    <w:p w:rsidR="00817E2C" w:rsidRDefault="00B7115B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ДЕЛАМ ГРАЖДАНСКОЙ ОБОРОНЫ, ЧРЕЗВЫЧАЙНЫМ СИТУАЦИЯМ</w:t>
      </w:r>
    </w:p>
    <w:p w:rsidR="00817E2C" w:rsidRDefault="00B7115B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ЛИКВИДАЦИИ ПОСЛЕДСТВИЙ СТИХИЙНЫХ БЕДСТВИЙ</w:t>
      </w:r>
    </w:p>
    <w:p w:rsidR="00817E2C" w:rsidRDefault="00817E2C">
      <w:pPr>
        <w:pBdr>
          <w:bottom w:val="single" w:sz="12" w:space="1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214" w:type="dxa"/>
        <w:tblLayout w:type="fixed"/>
        <w:tblLook w:val="0000" w:firstRow="0" w:lastRow="0" w:firstColumn="0" w:lastColumn="0" w:noHBand="0" w:noVBand="0"/>
      </w:tblPr>
      <w:tblGrid>
        <w:gridCol w:w="3118"/>
        <w:gridCol w:w="6096"/>
      </w:tblGrid>
      <w:tr w:rsidR="00817E2C">
        <w:tc>
          <w:tcPr>
            <w:tcW w:w="3118" w:type="dxa"/>
          </w:tcPr>
          <w:p w:rsidR="00817E2C" w:rsidRDefault="00817E2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17E2C" w:rsidRDefault="00817E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17E2C" w:rsidRDefault="00B711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 xml:space="preserve">  </w:t>
      </w:r>
    </w:p>
    <w:p w:rsidR="00817E2C" w:rsidRDefault="00817E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817E2C" w:rsidRDefault="00B7115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МЕТОДИЧЕСКИЕ РЕКОМЕНДАЦИИ</w:t>
      </w:r>
    </w:p>
    <w:p w:rsidR="00817E2C" w:rsidRDefault="00B7115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защите основных производственных фондов организации в целях </w:t>
      </w:r>
    </w:p>
    <w:p w:rsidR="00817E2C" w:rsidRDefault="00B7115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повышения устойчивости функционирования объектов экономики </w:t>
      </w:r>
    </w:p>
    <w:p w:rsidR="00817E2C" w:rsidRDefault="00B7115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военных конфликтах или вследствие этих конфликтов</w:t>
      </w:r>
    </w:p>
    <w:p w:rsidR="00CD4E1B" w:rsidRPr="00CD4E1B" w:rsidRDefault="00CD4E1B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D4E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(направлены письмом МЧС России от 18.08.2023 № М-ВЯ-102)</w:t>
      </w:r>
    </w:p>
    <w:p w:rsidR="00817E2C" w:rsidRDefault="00817E2C">
      <w:pPr>
        <w:spacing w:after="0" w:line="240" w:lineRule="auto"/>
        <w:jc w:val="both"/>
        <w:rPr>
          <w:rFonts w:ascii="Impact" w:eastAsia="Times New Roman" w:hAnsi="Impact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Impact" w:eastAsia="Times New Roman" w:hAnsi="Impact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Impact" w:eastAsia="Times New Roman" w:hAnsi="Impact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Impact" w:eastAsia="Times New Roman" w:hAnsi="Impact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Impact" w:eastAsia="Times New Roman" w:hAnsi="Impact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Impact" w:eastAsia="Times New Roman" w:hAnsi="Impact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Impact" w:eastAsia="Times New Roman" w:hAnsi="Impact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Impact" w:eastAsia="Times New Roman" w:hAnsi="Impact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Impact" w:eastAsia="Times New Roman" w:hAnsi="Impact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Impact" w:eastAsia="Times New Roman" w:hAnsi="Impact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Impact" w:eastAsia="Times New Roman" w:hAnsi="Impact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Impact" w:eastAsia="Times New Roman" w:hAnsi="Impact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Impact" w:eastAsia="Times New Roman" w:hAnsi="Impact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240" w:lineRule="auto"/>
        <w:jc w:val="both"/>
        <w:rPr>
          <w:rFonts w:ascii="Impact" w:eastAsia="Times New Roman" w:hAnsi="Impact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817E2C">
          <w:headerReference w:type="default" r:id="rId7"/>
          <w:pgSz w:w="11906" w:h="16838"/>
          <w:pgMar w:top="1559" w:right="567" w:bottom="709" w:left="1418" w:header="1134" w:footer="0" w:gutter="0"/>
          <w:cols w:space="720"/>
          <w:formProt w:val="0"/>
          <w:docGrid w:linePitch="360" w:charSpace="8192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Москва, 2023 г.</w:t>
      </w:r>
    </w:p>
    <w:p w:rsidR="00817E2C" w:rsidRDefault="00B7115B">
      <w:pPr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ПЕРЕЧЕНЬ СОКРАЩЕНИЙ И ОБОЗНАЧЕНИЙ</w:t>
      </w:r>
    </w:p>
    <w:tbl>
      <w:tblPr>
        <w:tblW w:w="10087" w:type="dxa"/>
        <w:tblLayout w:type="fixed"/>
        <w:tblLook w:val="0000" w:firstRow="0" w:lastRow="0" w:firstColumn="0" w:lastColumn="0" w:noHBand="0" w:noVBand="0"/>
      </w:tblPr>
      <w:tblGrid>
        <w:gridCol w:w="1808"/>
        <w:gridCol w:w="8279"/>
      </w:tblGrid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авиационные боеприпасы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</w:t>
            </w:r>
            <w:proofErr w:type="gramEnd"/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артиллерийские боеприпасы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АСДНР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аварийно-спасательные и другие неотложные работы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АСУП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автоматизированная система управления производством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БВС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беспилотное воздушное судно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БАС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беспилотная авиационная система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ВПП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взлетно-посадочная полоса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высокоточное оружие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ВУВ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воздушная ударная волна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ГВЦ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главный вычислительный центр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гражданская оборона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ГОСТ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государственный стандарт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ГРП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газо-регуляторные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пункты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ГРС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газораспределительные станции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ГТС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гидротехнические сооружения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ЖОН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жизнеобеспечение населения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ЖКХ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жилищно-коммунальное хозяйство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ЗПУ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запасной пункт управления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ЗС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защитное сооружение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ИТМ 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инженерно-технические мероприятия 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КВО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критически важный объект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КИПиА</w:t>
            </w:r>
            <w:proofErr w:type="spellEnd"/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контрольно-измерительные приборы и автоматика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КПУФ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комиссия по повышению устойчивости функционирования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крылатые ракеты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КЭХ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коммунально-энергетическое хозяйство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ЛВЖ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легковоспламеняющиеся жидкости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ЛЭП</w:t>
            </w:r>
          </w:p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МГП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линии электропередач</w:t>
            </w:r>
          </w:p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международное гуманитарное право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МЧС России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ind w:left="210" w:hanging="210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/>
                <w:bCs/>
                <w:color w:val="000000"/>
                <w:spacing w:val="8"/>
                <w:sz w:val="28"/>
                <w:szCs w:val="28"/>
                <w:lang w:eastAsia="ru-RU"/>
              </w:rPr>
              <w:t>Министерство Российской Федерации по делам гражданской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br/>
              <w:t xml:space="preserve">обороны, чрезвычайным ситуациям и ликвидации последствий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br/>
              <w:t>стихийных бедствий</w:t>
            </w:r>
          </w:p>
        </w:tc>
      </w:tr>
      <w:tr w:rsidR="00817E2C">
        <w:trPr>
          <w:trHeight w:val="80"/>
        </w:trPr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ind w:left="210" w:hanging="21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муниципальное образование 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МТО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ind w:left="210" w:hanging="21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материально-техническое обеспечение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НРС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ind w:left="210" w:hanging="210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максимальная по численности работающая в военное время смена работников организации, имеющей мобилизационное задание (заказ)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ИО СРФ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– исполнительные органы СРФ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ОМСУ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органы местного самоуправления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ОПО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опасный производственный объект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ОПФ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основные производственные фонды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ОСП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обычные средства поражения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ОХВ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опасные химические вещества</w:t>
            </w:r>
          </w:p>
        </w:tc>
      </w:tr>
      <w:tr w:rsidR="00817E2C">
        <w:trPr>
          <w:trHeight w:val="347"/>
        </w:trPr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ПВО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противовоздушная оборона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ПВХ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поливинилхлорид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ПЖОН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первоочередное жизнеобеспечение населения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ПУФ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повышение устойчивости функционирования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РСЗО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ракетные системы залпового огня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РСЧС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8"/>
                <w:szCs w:val="28"/>
                <w:lang w:eastAsia="ru-RU"/>
              </w:rPr>
              <w:t>– единая государственная система предупреждения и ликвидации ЧС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РФ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Российская Федерация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РХБ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радиационное, химическое и биологическое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РЭБ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радиоэлектронная борьба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специальная военная операция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СИЗ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средства индивидуальной защиты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СНиП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строительные нормы и правила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стрелковое оружие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свод правил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СРФ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субъект РФ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ССП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современные средства поражения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СФД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страховой фонд документации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ТЭК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топливно-энергетический комплекс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ФГПН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федеральный государственный пожарный надзор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ФОИВ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федеральные органы исполнительной власти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ФЗ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федеральный закон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ФКЗ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федеральный конституционный закон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ЧПУ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числовое программное управление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чрезвычайная ситуация</w:t>
            </w:r>
          </w:p>
        </w:tc>
      </w:tr>
      <w:tr w:rsidR="00817E2C">
        <w:tc>
          <w:tcPr>
            <w:tcW w:w="180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ЯО</w:t>
            </w:r>
          </w:p>
        </w:tc>
        <w:tc>
          <w:tcPr>
            <w:tcW w:w="8278" w:type="dxa"/>
          </w:tcPr>
          <w:p w:rsidR="00817E2C" w:rsidRDefault="00B7115B">
            <w:pPr>
              <w:widowControl w:val="0"/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ядерное оружие</w:t>
            </w:r>
          </w:p>
        </w:tc>
      </w:tr>
    </w:tbl>
    <w:p w:rsidR="00817E2C" w:rsidRDefault="00B711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АННОТАЦИЯ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задач гражданской обороны по ПУФ организаций, необходимых для выживания населения при военных конфликтах или вследствие этих конфликтов, а также при ЧС природного и техногенного характера, предусматривает защиту материальных ценностей (в т. ч. защиту ОПФ) этих организаций. 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 по защите ОПФ в целях ПУФ объектов экономики при военных конфликтах или вследствие этих конфликтов предназначены для оказания методической помощи и использования руководителями организаций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выполнению задачи ПУФ организаций, необходимых для выживания населения при военных конфликтах или вследствие этих конфликтов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(далее - Методические рекомендации). 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разработаны с учетом требований ФЗ, постановлений Правительства РФ, нормативных правовых актов МЧС Росс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>и ИО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СРФ.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определяют цель, задачи, методы, перечень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состав мероприятий,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основные положения и общие подходы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реализации требований ФЗ от 12 февраля 1998 г. № 28-ФЗ «О гражданской обороне»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ПУФ организаций, необходимых для выживания населения при военных конфликтах или вследствие этих конфликтов посредством защиты их ОПФ от ССП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 вторичных поражающих факторов.</w:t>
      </w:r>
      <w:proofErr w:type="gramEnd"/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следует применять с учетом особенностей СРФ, геостратегических территорий РФ и специфичных для них условий функционирования организаций.</w:t>
      </w:r>
    </w:p>
    <w:p w:rsidR="00817E2C" w:rsidRDefault="00817E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17E2C" w:rsidRDefault="00B7115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tbl>
      <w:tblPr>
        <w:tblW w:w="10020" w:type="dxa"/>
        <w:tblLayout w:type="fixed"/>
        <w:tblLook w:val="0000" w:firstRow="0" w:lastRow="0" w:firstColumn="0" w:lastColumn="0" w:noHBand="0" w:noVBand="0"/>
      </w:tblPr>
      <w:tblGrid>
        <w:gridCol w:w="564"/>
        <w:gridCol w:w="8962"/>
        <w:gridCol w:w="494"/>
      </w:tblGrid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Введение……………………………………………………………………….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B7115B">
            <w:pPr>
              <w:widowControl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1.</w:t>
            </w: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tabs>
                <w:tab w:val="left" w:pos="8398"/>
              </w:tabs>
              <w:spacing w:after="0" w:line="360" w:lineRule="auto"/>
              <w:ind w:right="-4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Общие положения……………………………………………………………..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1.1 Основные понятия, термины и определения…………………………….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1.2 Сфера действия </w:t>
            </w:r>
            <w:r w:rsidRPr="00AE0CE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Методических рекомендаций</w:t>
            </w: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………………………….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18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  <w:t>1.3 Актуальность задачи по защите основных производственных фондов организаций………………………………………………………………………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20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spacing w:val="-10"/>
                <w:sz w:val="24"/>
              </w:rPr>
            </w:pPr>
            <w:r w:rsidRPr="00AE0CE4">
              <w:rPr>
                <w:rFonts w:ascii="Times New Roman" w:hAnsi="Times New Roman" w:cs="Times New Roman"/>
                <w:color w:val="000000"/>
                <w:spacing w:val="-10"/>
                <w:sz w:val="24"/>
                <w:szCs w:val="28"/>
              </w:rPr>
              <w:t xml:space="preserve">1.4 </w:t>
            </w:r>
            <w:r w:rsidRPr="00AE0CE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8"/>
                <w:lang w:eastAsia="ru-RU"/>
              </w:rPr>
              <w:t xml:space="preserve">Цель и основной метод выполнения задачи по защите </w:t>
            </w:r>
            <w:r w:rsidRPr="00AE0CE4"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  <w:t>основных производственных фондов</w:t>
            </w:r>
            <w:r w:rsidRPr="00AE0CE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8"/>
                <w:lang w:eastAsia="ru-RU"/>
              </w:rPr>
              <w:t xml:space="preserve"> организаций…………………………………………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21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1.5 Рекомендуемые принципы выполнения мероприятий по защите </w:t>
            </w:r>
            <w:r w:rsidRPr="00AE0CE4"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  <w:t>основных производственных фондов</w:t>
            </w: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организаций …………………………..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22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1.6 Общие вопросы защиты основных производственных фондов организаций……………………………………………………………………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24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B7115B">
            <w:pPr>
              <w:widowControl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2.</w:t>
            </w: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pacing w:val="-1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pacing w:val="-10"/>
                <w:sz w:val="24"/>
                <w:szCs w:val="28"/>
              </w:rPr>
              <w:t>Характеристика очагов поражения на территории эксплуатируемых объектов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26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2.1 Поражающие факторы средств вооруженной борьбы…………………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26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2.2 Характеристика очагов поражения современными средствами ………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26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B7115B">
            <w:pPr>
              <w:widowControl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3.</w:t>
            </w: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Сведения об объектах защиты……………………………………………….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28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3.1 </w:t>
            </w:r>
            <w:r w:rsidRPr="00AE0CE4">
              <w:rPr>
                <w:rFonts w:ascii="Times New Roman" w:hAnsi="Times New Roman" w:cs="Times New Roman"/>
                <w:color w:val="000000"/>
                <w:spacing w:val="-6"/>
                <w:sz w:val="24"/>
                <w:szCs w:val="28"/>
              </w:rPr>
              <w:t xml:space="preserve">Общие подходы к обоснованию и выбору объектов защиты </w:t>
            </w:r>
            <w:r w:rsidRPr="00AE0CE4">
              <w:rPr>
                <w:rFonts w:ascii="Times New Roman" w:hAnsi="Times New Roman" w:cs="Times New Roman"/>
                <w:color w:val="000000"/>
                <w:spacing w:val="-6"/>
                <w:sz w:val="24"/>
                <w:szCs w:val="28"/>
              </w:rPr>
              <w:br/>
              <w:t>от современных средств поражения……………………………………………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28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3.2 Особенности подготовки к защите объектов экономики……………....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29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3.3 Критерии классификации объектов защиты…………………………….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29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3.4 Особенности поражения основных производственных фондов объектов защиты……………………………………………………………....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30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3.5 Классификация и ранжирование объектов защиты……………………..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31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sz w:val="24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3.6 </w:t>
            </w:r>
            <w:r w:rsidRPr="00AE0CE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Рекомендации по выбору технологического оборудования,   подлежащего защите от поражающих факторов внешних воздействий</w:t>
            </w: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....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32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B7115B">
            <w:pPr>
              <w:widowControl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4.</w:t>
            </w: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sz w:val="24"/>
              </w:rPr>
            </w:pPr>
            <w:r w:rsidRPr="00AE0CE4"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  <w:t>Средства защиты основных производственных фондов</w:t>
            </w:r>
            <w:r w:rsidRPr="00AE0CE4">
              <w:rPr>
                <w:rFonts w:ascii="Times New Roman" w:hAnsi="Times New Roman" w:cs="Times New Roman"/>
                <w:color w:val="000000"/>
                <w:spacing w:val="-10"/>
                <w:sz w:val="24"/>
                <w:szCs w:val="28"/>
              </w:rPr>
              <w:t xml:space="preserve"> организаций</w:t>
            </w:r>
            <w:r w:rsidRPr="00AE0CE4"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  <w:t>. Общие сведения…………………………………………………………………………..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34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sz w:val="24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4.1 Классификационные признаки средств защиты </w:t>
            </w:r>
            <w:r w:rsidRPr="00AE0CE4"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  <w:t>основных производственных фондов</w:t>
            </w: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AE0CE4">
              <w:rPr>
                <w:rFonts w:ascii="Times New Roman" w:hAnsi="Times New Roman" w:cs="Times New Roman"/>
                <w:color w:val="000000"/>
                <w:spacing w:val="-10"/>
                <w:sz w:val="24"/>
                <w:szCs w:val="28"/>
              </w:rPr>
              <w:t>организаций…………………………………………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35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pacing w:val="-1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pacing w:val="-10"/>
                <w:sz w:val="24"/>
                <w:szCs w:val="28"/>
              </w:rPr>
              <w:t xml:space="preserve">4.2 Классификация средств защиты </w:t>
            </w:r>
            <w:r w:rsidRPr="00AE0CE4"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  <w:t>основных производственных фондов</w:t>
            </w:r>
            <w:r w:rsidRPr="00AE0CE4">
              <w:rPr>
                <w:rFonts w:ascii="Times New Roman" w:hAnsi="Times New Roman" w:cs="Times New Roman"/>
                <w:color w:val="000000"/>
                <w:spacing w:val="-10"/>
                <w:sz w:val="24"/>
                <w:szCs w:val="28"/>
              </w:rPr>
              <w:t xml:space="preserve"> организаций</w:t>
            </w:r>
            <w:proofErr w:type="gramStart"/>
            <w:r w:rsidRPr="00AE0CE4">
              <w:rPr>
                <w:rFonts w:ascii="Times New Roman" w:hAnsi="Times New Roman" w:cs="Times New Roman"/>
                <w:color w:val="000000"/>
                <w:spacing w:val="-10"/>
                <w:sz w:val="24"/>
                <w:szCs w:val="28"/>
              </w:rPr>
              <w:t xml:space="preserve"> .</w:t>
            </w:r>
            <w:proofErr w:type="gramEnd"/>
            <w:r w:rsidRPr="00AE0CE4">
              <w:rPr>
                <w:rFonts w:ascii="Times New Roman" w:hAnsi="Times New Roman" w:cs="Times New Roman"/>
                <w:color w:val="000000"/>
                <w:spacing w:val="-10"/>
                <w:sz w:val="24"/>
                <w:szCs w:val="28"/>
              </w:rPr>
              <w:t>.……………………………………………………………………...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35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B7115B">
            <w:pPr>
              <w:widowControl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5.</w:t>
            </w: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Выбор степени защиты </w:t>
            </w:r>
            <w:r w:rsidRPr="00AE0CE4"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  <w:t>основных производственных фондов</w:t>
            </w: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организаций…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37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spacing w:val="-6"/>
                <w:sz w:val="24"/>
              </w:rPr>
            </w:pPr>
            <w:r w:rsidRPr="00AE0CE4">
              <w:rPr>
                <w:rFonts w:ascii="Times New Roman" w:hAnsi="Times New Roman" w:cs="Times New Roman"/>
                <w:color w:val="000000"/>
                <w:spacing w:val="-6"/>
                <w:sz w:val="24"/>
                <w:szCs w:val="28"/>
              </w:rPr>
              <w:t xml:space="preserve">5.1 Степень защиты </w:t>
            </w:r>
            <w:r w:rsidRPr="00AE0CE4"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  <w:t>основных производственных фондов</w:t>
            </w:r>
            <w:r w:rsidRPr="00AE0CE4">
              <w:rPr>
                <w:rFonts w:ascii="Times New Roman" w:hAnsi="Times New Roman" w:cs="Times New Roman"/>
                <w:color w:val="000000"/>
                <w:spacing w:val="-6"/>
                <w:sz w:val="24"/>
                <w:szCs w:val="28"/>
              </w:rPr>
              <w:t xml:space="preserve"> организаций </w:t>
            </w:r>
            <w:r w:rsidRPr="00AE0CE4">
              <w:rPr>
                <w:rFonts w:ascii="Times New Roman" w:hAnsi="Times New Roman" w:cs="Times New Roman"/>
                <w:color w:val="000000"/>
                <w:spacing w:val="-6"/>
                <w:sz w:val="24"/>
                <w:szCs w:val="28"/>
              </w:rPr>
              <w:br/>
            </w:r>
            <w:r w:rsidRPr="00AE0CE4">
              <w:rPr>
                <w:rFonts w:ascii="Times New Roman" w:hAnsi="Times New Roman" w:cs="Times New Roman"/>
                <w:color w:val="000000"/>
                <w:spacing w:val="-6"/>
                <w:sz w:val="24"/>
                <w:szCs w:val="28"/>
              </w:rPr>
              <w:lastRenderedPageBreak/>
              <w:t>и показатели приоритетов защиты……………………………………………...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37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sz w:val="24"/>
              </w:rPr>
            </w:pPr>
            <w:r w:rsidRPr="00AE0CE4">
              <w:rPr>
                <w:rFonts w:ascii="Times New Roman" w:hAnsi="Times New Roman" w:cs="Times New Roman"/>
                <w:color w:val="000000"/>
                <w:spacing w:val="-2"/>
                <w:sz w:val="24"/>
                <w:szCs w:val="28"/>
              </w:rPr>
              <w:t xml:space="preserve">5.2 </w:t>
            </w:r>
            <w:r w:rsidRPr="00AE0CE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8"/>
                <w:lang w:eastAsia="ru-RU"/>
              </w:rPr>
              <w:t xml:space="preserve">Характеристики принимаемых степеней защиты </w:t>
            </w:r>
            <w:r w:rsidRPr="00AE0CE4"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  <w:t>основных производственных фондов</w:t>
            </w:r>
            <w:r w:rsidRPr="00AE0CE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8"/>
                <w:lang w:eastAsia="ru-RU"/>
              </w:rPr>
              <w:t xml:space="preserve"> организаций при военных конфликтах </w:t>
            </w:r>
            <w:r w:rsidRPr="00AE0CE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8"/>
                <w:lang w:eastAsia="ru-RU"/>
              </w:rPr>
              <w:br/>
              <w:t>и соответствующие им рекомендуемые средства защиты…………………...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39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pacing w:val="-2"/>
                <w:sz w:val="24"/>
                <w:szCs w:val="28"/>
              </w:rPr>
              <w:t xml:space="preserve">5.3 </w:t>
            </w:r>
            <w:r w:rsidRPr="00AE0CE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8"/>
                <w:lang w:eastAsia="ru-RU"/>
              </w:rPr>
              <w:t xml:space="preserve">Средства защиты основных производственных фондов организаций </w:t>
            </w:r>
            <w:r w:rsidRPr="00AE0CE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8"/>
                <w:lang w:eastAsia="ru-RU"/>
              </w:rPr>
              <w:br/>
              <w:t>от поражения ударными беспилотными авиационными системами, беспилотными воздушными судами (</w:t>
            </w:r>
            <w:proofErr w:type="spellStart"/>
            <w:r w:rsidRPr="00AE0CE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8"/>
                <w:lang w:eastAsia="ru-RU"/>
              </w:rPr>
              <w:t>дронами</w:t>
            </w:r>
            <w:proofErr w:type="spellEnd"/>
            <w:r w:rsidRPr="00AE0CE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Pr="00AE0CE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8"/>
                <w:lang w:eastAsia="ru-RU"/>
              </w:rPr>
              <w:t>коптерами</w:t>
            </w:r>
            <w:proofErr w:type="spellEnd"/>
            <w:r w:rsidRPr="00AE0CE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8"/>
                <w:lang w:eastAsia="ru-RU"/>
              </w:rPr>
              <w:t>)………………...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43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5.4 Объемно-планировочные решения защиты </w:t>
            </w:r>
            <w:r w:rsidRPr="00AE0CE4"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  <w:t>основных производственных фондов</w:t>
            </w: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организаций……………………………………...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47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B7115B">
            <w:pPr>
              <w:widowControl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6.</w:t>
            </w: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Организация работы по защите </w:t>
            </w:r>
            <w:r w:rsidRPr="00AE0CE4"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  <w:t>основных производственных фондов</w:t>
            </w: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организаций. КПУФ организации…………………………………………...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49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B7115B">
            <w:pPr>
              <w:widowControl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7.</w:t>
            </w: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sz w:val="24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Рекомендации по распределению обязанностей должностных лиц </w:t>
            </w: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br/>
              <w:t xml:space="preserve">по защите </w:t>
            </w:r>
            <w:r w:rsidRPr="00AE0CE4"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  <w:t>основных производственных фондов</w:t>
            </w: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организации, необходимой для выживания населения при военных конфликтах……………….……….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54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B7115B">
            <w:pPr>
              <w:widowControl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8.</w:t>
            </w: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pacing w:val="-6"/>
                <w:sz w:val="24"/>
                <w:szCs w:val="28"/>
              </w:rPr>
              <w:t xml:space="preserve">Рекомендации по планированию мероприятий защиты </w:t>
            </w:r>
            <w:r w:rsidRPr="00AE0CE4"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  <w:t>основных производственных фондов</w:t>
            </w:r>
            <w:r w:rsidRPr="00AE0CE4">
              <w:rPr>
                <w:rFonts w:ascii="Times New Roman" w:hAnsi="Times New Roman" w:cs="Times New Roman"/>
                <w:color w:val="000000"/>
                <w:spacing w:val="-6"/>
                <w:sz w:val="24"/>
                <w:szCs w:val="28"/>
              </w:rPr>
              <w:t xml:space="preserve"> в планах гражданской обороны организаций, необходимых для выживания населения при военных конфликтах или вследствие этих конфликтов……………………………………………………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56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B7115B">
            <w:pPr>
              <w:widowControl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9.</w:t>
            </w: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Финансирование мероприятий по защите </w:t>
            </w:r>
            <w:r w:rsidRPr="00AE0CE4"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  <w:t>основных производственных фондов</w:t>
            </w: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организаций, необходимых для выживания населения при военных конфликтах или вследствие этих конфликтов………………….....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61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B7115B">
            <w:pPr>
              <w:widowControl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10.</w:t>
            </w: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Технико-экономическая эффективность защиты </w:t>
            </w:r>
            <w:r w:rsidRPr="00AE0CE4">
              <w:rPr>
                <w:rFonts w:ascii="Times New Roman" w:hAnsi="Times New Roman" w:cs="Times New Roman"/>
                <w:color w:val="000000"/>
                <w:spacing w:val="-8"/>
                <w:sz w:val="24"/>
                <w:szCs w:val="28"/>
              </w:rPr>
              <w:t>основных производственных фондов</w:t>
            </w: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организаций</w:t>
            </w:r>
            <w:proofErr w:type="gramStart"/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..…………………………………….</w:t>
            </w:r>
            <w:proofErr w:type="gramEnd"/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62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Заключение……………………………………………………………………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64</w:t>
            </w:r>
          </w:p>
        </w:tc>
      </w:tr>
      <w:tr w:rsidR="00817E2C" w:rsidRPr="00AE0CE4">
        <w:tc>
          <w:tcPr>
            <w:tcW w:w="564" w:type="dxa"/>
          </w:tcPr>
          <w:p w:rsidR="00817E2C" w:rsidRPr="00AE0CE4" w:rsidRDefault="00817E2C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962" w:type="dxa"/>
          </w:tcPr>
          <w:p w:rsidR="00817E2C" w:rsidRPr="00AE0CE4" w:rsidRDefault="00B7115B">
            <w:pPr>
              <w:widowControl w:val="0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Список использованных источников………………………………………..</w:t>
            </w:r>
          </w:p>
        </w:tc>
        <w:tc>
          <w:tcPr>
            <w:tcW w:w="494" w:type="dxa"/>
            <w:vAlign w:val="bottom"/>
          </w:tcPr>
          <w:p w:rsidR="00817E2C" w:rsidRPr="00AE0CE4" w:rsidRDefault="00B7115B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AE0CE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65</w:t>
            </w:r>
          </w:p>
        </w:tc>
      </w:tr>
    </w:tbl>
    <w:p w:rsidR="00817E2C" w:rsidRDefault="00817E2C">
      <w:pPr>
        <w:ind w:left="-14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ind w:left="-14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ind w:left="-14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Задача по защите материальных ценностей является одним из целевых направлений системы мероприятий ГО РФ. Актуальность подготовки                                   к ее выполнению обусловлена существующей угрозой внешнего воздействия                   на критическую инфраструктуру экономики, системы ЖОН городских и сельских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поселений, необходимостью противодействия вооруженным конфликтам                         и рассматривается как составная часть вопросов обеспечения устойчивого функционирования экономики страны, организаций, необходимых                                 для дальнейшего выживания населения при военных конфликтах и вследствие этих конфликтов.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Требование федерального законодательства по обеспечению устойчивого функционирования организаций, необходимых для выживания населения                   при военных конфликтах или вследствие этих конфликтов</w:t>
      </w:r>
      <w:r>
        <w:rPr>
          <w:color w:val="000000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детализировано                    в Положении об организации и ведении гражданской обороны в муниципальных образованиях и организациях (далее - Положение о ГО в МО и организациях), утвержденном приказом МЧС России от 14 ноября 2008 г. № 687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(зарегистрирован Министерством юстиции РФ 26 ноября 2008 г.,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регистрационный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№ 12740)                        и является обязательным для руководителей организаций на всей территории РФ.</w:t>
      </w: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Защита ОПФ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является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важнейшей составной частью в общем комплексе мероприятий обеспечения устойчивого функционирования рассматриваемых организаций.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Методические рекомендации органам, осуществляющим управление ГО,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 обеспечению устойчивого функционирования экономики и организаций, необходимых для выживания населения при военных конфликтах или вследствие этих конфликтов, разработаны с учетом требований ФЗ, постановлений Правительства РФ, руководящих документов МЧС России и других ФОИВ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в области ГО.</w:t>
      </w: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Целью настоящих Методических рекомендаций является обеспечение органов, осуществляющих управление ГО, едиными организационными подходами решения задачи по защите ОПФ объектов экономики в интересах выживания населения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при военных конфликтах или вследствие этих конфликтов, а также подготовка органов управления ГО к выполнению задач в условиях военного времени.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Мероприятия по защите ОПФ объектов экономики и их содержание предложены с учетом результатов исследований современных технологий                     и опыта практических работ.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Методических рекомендациях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определены порядок создания, организация, цель, задачи, принципы и методы работы в мирное и военное время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органов управления 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вопросам ПУФ объектов экономики в организациях, необходимых для выживания населения при военных конфликтах или вследствие этих конфликтов,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раскрываются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основные организационные,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ИТМ по защите ОПФ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Методических рекомендациях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приведены и предлагаются образцы разрабатываемых организациями планирующих документов.</w:t>
      </w: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ОБЩИЕ ПОЛОЖЕНИЯ</w:t>
      </w:r>
    </w:p>
    <w:p w:rsidR="00817E2C" w:rsidRDefault="00817E2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 Основные понятия, термины и определения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Методических рекомендациях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используется ряд основных терминов, понятий и определений, необходимых для детализации и понимания задачи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по защите ОПФ объектов экономики, эксплуатируемых организациями, необходимыми для выживания населения при военных конфликтах или вследствие этих конфликтов.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рамках применения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Методических рекомендаций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используются следующие понятия, термины и определения: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беспилотное воздушное судно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воздушное судно, управляемое, контролируемое в полете пилотом, находящимся вне борта такого воздушного судна (внешний пилот) (Воздушный кодекс Российской Федерации                                         от 19 марта 1997 г. № 60-ФЗ);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беспилотная авиационная система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комплекс взаимосвязанных элементов, включающий в себя одно или несколько БВС, средства обеспечения взлета и посадки, средства управления полетом одного или нескольких БВС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полетом одного или нескольких БВС (Воздушный кодекс Российской Федерации от 19 марта 1997 г. № 60-ФЗ);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водоснабжение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водоподготовка, транспортировка и подача питьевой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или технической воды абонентам с использованием централизованных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или нецентрализованных систем холодного водоснабжения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                   (ФЗ от 7 декабря 2011 г. № 416-ФЗ «О водоснабжении и водоотведении»);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spacing w:val="-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водоотведение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прием, транспортировка и очистка сточных вод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с использованием централизованной системы водоотведения (ФЗ от 7 декабря 2011 г. № 416-ФЗ «О водоснабжении и водоотведении»);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spacing w:val="-8"/>
        </w:rPr>
      </w:pPr>
      <w:r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  <w:lang w:eastAsia="ru-RU"/>
        </w:rPr>
        <w:t>военный объект</w:t>
      </w:r>
      <w:r>
        <w:rPr>
          <w:rFonts w:ascii="Times New Roman" w:eastAsia="Times New Roman" w:hAnsi="Times New Roman" w:cs="Times New Roman"/>
          <w:bCs/>
          <w:color w:val="000000"/>
          <w:spacing w:val="-8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 xml:space="preserve">объект, который в силу своего характера, расположения, назначения или использования вносит эффективный вклад в военные действия 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br/>
        <w:t xml:space="preserve">и полное или частичное разрушение, захват или нейтрализация которого 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br/>
        <w:t>при существующих в данный момент обстоятельствах дает явное военное преимущество</w:t>
      </w:r>
      <w:r>
        <w:rPr>
          <w:rFonts w:ascii="Times New Roman" w:eastAsia="Times New Roman" w:hAnsi="Times New Roman" w:cs="Times New Roman"/>
          <w:bCs/>
          <w:color w:val="000000"/>
          <w:spacing w:val="-8"/>
          <w:sz w:val="28"/>
          <w:szCs w:val="28"/>
          <w:lang w:eastAsia="ru-RU"/>
        </w:rPr>
        <w:t xml:space="preserve"> (дополнительный протокол I от 1977 г. к Женевским конвенциям 1949 г.);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местного значения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вопросы непосредственного обеспечения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жизнедеятельности населения муниципального образования, решение которых               в соответствии с Конституцией РФ и ФЗ «Об общих принципах организации местного самоуправления» осуществляется населением и (или) ОМСУ самостоятельно 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 xml:space="preserve">(ФЗ от 6 октября 2003 г.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№ 131-ФЗ «Об общих принципах организации местного самоуправления в Российской Федерации»);</w:t>
      </w:r>
    </w:p>
    <w:p w:rsidR="00817E2C" w:rsidRDefault="00B7115B">
      <w:pPr>
        <w:widowControl w:val="0"/>
        <w:spacing w:after="0" w:line="362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газоснабжение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одна из форм энергоснабжения, представляющая собой деятельность по обеспечению потребителей газом, в том числе деятельность               по формированию фонда разведанных месторождений газа, добыче, транспортировке, хранению и поставкам газа (ФЗ от 31 марта 1999 г. № 69-ФЗ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«О газоснабжении в Российской Федерации»);</w:t>
      </w:r>
    </w:p>
    <w:p w:rsidR="00817E2C" w:rsidRDefault="00B7115B">
      <w:pPr>
        <w:widowControl w:val="0"/>
        <w:spacing w:after="0" w:line="362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газораспределительная система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имущественный производственный комплекс, состоящий из организационно и экономически взаимосвязанных объектов, предназначенных для транспортировки и подачи газа непосредственно его потребителям (ФЗ от 31 марта 1999 г. № 69-ФЗ «О газоснабжении                                 в Российской Федерации»),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spacing w:val="4"/>
        </w:rPr>
      </w:pPr>
      <w:r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газотранспортная организация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  <w:t xml:space="preserve"> – организация, которая осуществляет транспортировку газа и у которой магистральные газопроводы и отводы газопроводов, компрессорные станции и другие производственные объекты находятся на праве собственности или на иных законных основаниях                               (ФЗ от 31 марта 1999 г. № 69-ФЗ «О газоснабжении в Российской Федерации»);</w:t>
      </w:r>
    </w:p>
    <w:p w:rsidR="00817E2C" w:rsidRDefault="00B7115B">
      <w:pPr>
        <w:widowControl w:val="0"/>
        <w:spacing w:after="0" w:line="362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гарантирующая организация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организация, осуществляющая холодное водоснабжение и (или) водоотведение, определенная решением ОМСУ                            (ФЗ от 7 декабря 2011 г. № 416-ФЗ «О водоснабжении и водоотведении»);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геостратегическая территория РФ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территория в границах одного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или нескольких СРФ, имеющая существенное значение для обеспечения устойчивого социально-экономического развития, территориальной целостности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и безопасности РФ, характеризующаяся специфическими условиями жизни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и ведения хозяйственной деятельности (Распоряжение Правительства РФ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от 13 февраля 2019 г. № 207-р «Об утверждении Стратегии пространственного развития Российской Федерации на период до 2025 года»);</w:t>
      </w:r>
      <w:proofErr w:type="gramEnd"/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городское поселение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город или поселок, в которых местное самоуправление осуществляется населением непосредственно и (или) через выборные и иные ОМСУ (ФЗ от 6 октября 2003 г. № 131-ФЗ «Об общих принципах организации местного самоуправления в Российской Федерации»);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городской округ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один или несколько объединенных общей территорией населенных пунктов, не являющихся муниципальными образованиями, в которых местное самоуправление осуществляется населением непосредственно                            и (или) через выборные и иные ОМСУ, которые могут осуществлять отдельные государственные полномочия, передаваемые ОМСУ ФЗ и законами СРФ,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этом не менее двух третей населения такого муниципального образования проживает в городах и (или) иных городских населенных пунктах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(ФЗ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 6 октября 2003 г. № 131-ФЗ «Об общих принципах организации местного самоуправления в Российской Федерации»);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28"/>
        </w:rPr>
      </w:pPr>
      <w:r>
        <w:rPr>
          <w:rFonts w:ascii="Times New Roman" w:hAnsi="Times New Roman" w:cs="Times New Roman"/>
          <w:b/>
          <w:color w:val="000000"/>
          <w:spacing w:val="-4"/>
          <w:sz w:val="28"/>
          <w:szCs w:val="26"/>
        </w:rPr>
        <w:t>градообразующая организация</w:t>
      </w:r>
      <w:r>
        <w:rPr>
          <w:rFonts w:ascii="Times New Roman" w:hAnsi="Times New Roman" w:cs="Times New Roman"/>
          <w:color w:val="000000"/>
          <w:spacing w:val="-4"/>
          <w:sz w:val="28"/>
          <w:szCs w:val="26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color w:val="000000"/>
          <w:spacing w:val="-4"/>
          <w:sz w:val="28"/>
          <w:szCs w:val="26"/>
        </w:rPr>
        <w:t xml:space="preserve"> юридическое лицо, численность работников которого составляет не менее двадцати пяти процентов численности работающего населения соответствующего населенного пункта (</w:t>
      </w:r>
      <w:hyperlink r:id="rId8">
        <w:r>
          <w:rPr>
            <w:rFonts w:ascii="Times New Roman" w:hAnsi="Times New Roman" w:cs="Times New Roman"/>
            <w:color w:val="000000"/>
            <w:spacing w:val="-4"/>
            <w:sz w:val="28"/>
          </w:rPr>
          <w:t xml:space="preserve">ФЗ от 26 октября 2002 г. </w:t>
        </w:r>
        <w:r>
          <w:rPr>
            <w:rFonts w:ascii="Times New Roman" w:hAnsi="Times New Roman" w:cs="Times New Roman"/>
            <w:color w:val="000000"/>
            <w:spacing w:val="-4"/>
            <w:sz w:val="28"/>
          </w:rPr>
          <w:br/>
          <w:t>№ 127-ФЗ «О несостоятельности (банкротстве)»</w:t>
        </w:r>
      </w:hyperlink>
      <w:r>
        <w:rPr>
          <w:rFonts w:ascii="Times New Roman" w:hAnsi="Times New Roman" w:cs="Times New Roman"/>
          <w:color w:val="000000"/>
          <w:spacing w:val="-4"/>
          <w:sz w:val="28"/>
        </w:rPr>
        <w:t>);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4"/>
          <w:sz w:val="28"/>
        </w:rPr>
        <w:t>дрон</w:t>
      </w:r>
      <w:proofErr w:type="spellEnd"/>
      <w:r>
        <w:rPr>
          <w:rFonts w:ascii="Times New Roman" w:hAnsi="Times New Roman" w:cs="Times New Roman"/>
          <w:color w:val="000000"/>
          <w:spacing w:val="-4"/>
          <w:sz w:val="28"/>
        </w:rPr>
        <w:t xml:space="preserve"> – беспилотный летательный аппарат, способный длительно автономно выполнять поставленную задачу, передвигаясь по заданному маршруту или </w:t>
      </w:r>
      <w:r>
        <w:rPr>
          <w:rFonts w:ascii="Times New Roman" w:hAnsi="Times New Roman" w:cs="Times New Roman"/>
          <w:color w:val="000000"/>
          <w:spacing w:val="-4"/>
          <w:sz w:val="28"/>
        </w:rPr>
        <w:br/>
        <w:t xml:space="preserve">к заданной цели, используемый в целях для разведки, съемки, мониторинга, ретрансляции радиосигналов,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8"/>
        </w:rPr>
        <w:t>целеуказания</w:t>
      </w:r>
      <w:proofErr w:type="spellEnd"/>
      <w:r>
        <w:rPr>
          <w:rFonts w:ascii="Times New Roman" w:hAnsi="Times New Roman" w:cs="Times New Roman"/>
          <w:color w:val="000000"/>
          <w:spacing w:val="-4"/>
          <w:sz w:val="28"/>
        </w:rPr>
        <w:t xml:space="preserve"> и нанесения урона;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должностное лицо местного самоуправления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выборное, либо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заключившее контракт (трудовой договор) лицо, наделенное исполнительно-распорядительными полномочиями по решению вопросов местного значения и (или) по организации деятельности ОМСУ (ФЗ от 6 октября 2003 г.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131-ФЗ «Об общих принципах организации местного самоуправления в Российской Федерации»);</w:t>
      </w: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комбатанты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лица, входящие в состав вооруженных сил стороны, находящейся в конфликте (кроме медицинского и духовного персонала, о котором говорится в статье 33 Третьей конвенции), имеющие право принимать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непосредственное участие в военных действиях (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hyperlink r:id="rId9">
        <w:r>
          <w:rPr>
            <w:rFonts w:ascii="Times New Roman" w:hAnsi="Times New Roman" w:cs="Times New Roman"/>
            <w:bCs/>
            <w:color w:val="000000"/>
            <w:sz w:val="28"/>
            <w:szCs w:val="28"/>
          </w:rPr>
          <w:t>ополнительный</w:t>
        </w:r>
        <w:proofErr w:type="gramEnd"/>
        <w:r>
          <w:rPr>
            <w:rFonts w:ascii="Times New Roman" w:hAnsi="Times New Roman" w:cs="Times New Roman"/>
            <w:bCs/>
            <w:color w:val="000000"/>
            <w:sz w:val="28"/>
            <w:szCs w:val="28"/>
          </w:rPr>
          <w:t xml:space="preserve"> протокол                  к Женевским конвенциям от 12 августа 1949 г., касающийся защиты жертв международных вооруженных конфликтов, от 8 июня 1977 г. (Протокол I)                   (с изменениями и дополнениями)</w:t>
        </w:r>
      </w:hyperlink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hyperlink r:id="rId10">
        <w:r>
          <w:rPr>
            <w:rFonts w:ascii="Times New Roman" w:hAnsi="Times New Roman" w:cs="Times New Roman"/>
            <w:bCs/>
            <w:color w:val="000000"/>
            <w:sz w:val="28"/>
            <w:szCs w:val="28"/>
          </w:rPr>
          <w:t>Часть III. Методы и средства ведения войны - статус комбатантов и военнопленных (статьи 35 - 47)</w:t>
        </w:r>
      </w:hyperlink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hyperlink r:id="rId11">
        <w:r>
          <w:rPr>
            <w:rFonts w:ascii="Times New Roman" w:hAnsi="Times New Roman" w:cs="Times New Roman"/>
            <w:bCs/>
            <w:color w:val="000000"/>
            <w:sz w:val="28"/>
            <w:szCs w:val="28"/>
          </w:rPr>
          <w:t xml:space="preserve">Раздел II. </w:t>
        </w:r>
        <w:proofErr w:type="gramStart"/>
        <w:r>
          <w:rPr>
            <w:rFonts w:ascii="Times New Roman" w:hAnsi="Times New Roman" w:cs="Times New Roman"/>
            <w:bCs/>
            <w:color w:val="000000"/>
            <w:sz w:val="28"/>
            <w:szCs w:val="28"/>
          </w:rPr>
          <w:t>Статус комбатантов и военнопленных (статьи 43 - 47)</w:t>
        </w:r>
      </w:hyperlink>
      <w:r>
        <w:rPr>
          <w:rFonts w:ascii="Times New Roman" w:hAnsi="Times New Roman" w:cs="Times New Roman"/>
          <w:bCs/>
          <w:color w:val="000000"/>
          <w:sz w:val="28"/>
          <w:szCs w:val="28"/>
        </w:rPr>
        <w:t>. Статья 43 - Вооруженные силы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);</w:t>
      </w:r>
      <w:proofErr w:type="gramEnd"/>
    </w:p>
    <w:p w:rsidR="00817E2C" w:rsidRDefault="00B7115B">
      <w:pPr>
        <w:widowControl w:val="0"/>
        <w:suppressAutoHyphens w:val="0"/>
        <w:overflowPunct w:val="0"/>
        <w:spacing w:after="0" w:line="360" w:lineRule="auto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организация коммунального комплекса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юридическое лицо                          независимо от его организационно-правовой формы, осуществляющее                       эксплуатацию системы (систем) коммунальной инфраструктуры, используемой (используемых) для производства товаров (оказания услуг) в целях обеспечения электро-, тепло-, водоснабжения, водоотведения и очистки сточных вод, и (или) осуществляющее эксплуатацию объектов, используемых для утилизации                     (захоронения) твердых бытовых отходов (</w:t>
      </w:r>
      <w:hyperlink r:id="rId12">
        <w:r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ФЗ от 30 декабря 2004 г. № 210-ФЗ                «Об основах регулирования тарифов организаций коммунального комплекса»)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  <w:proofErr w:type="gramEnd"/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коммунальные ресурсы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это холодная вода надлежащего качества, горячая вода, электрическая энергия, газ, тепловая энергия, теплоноситель в виде горячей воды в открытых системах теплоснабжения (горячего водоснабжения), бытовой газ в баллонах, твердое топливо при наличии печного отопления, используемые для предоставления коммунальных услуг. К коммунальным ресурсам относятся также сточные бытовые воды, отводимые по централизованным сетям инженерно-технического обеспечения (постановление Правительства РФ от 6 мая 2011 г.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№ 354 «О предоставлении коммунальных услуг собственникам и пользователям помещений в многоквартирных домах и жилых домов»);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коммунальные услуги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деятельность по подаче потребителям любого коммунального ресурса в отдельности или двух и более из них в любом сочетании              с целью обеспечения благоприятных и безопасных условий использования жилых, нежилых помещений, общего имущества в многоквартирном доме, а также земельных участков и расположенных на них жилых домов (домовладений) (постановление Правительства РФ от 6 мая 2011 г. № 354 «О предоставлении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lastRenderedPageBreak/>
        <w:t>коммунальных услуг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 собственникам и пользователям помещений в многоквартирных домах и жилых домов»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коптер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БВС с несколькими несущими винтами,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управляемый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оператором с помощью дистанционного пульта, предназначенный для ведения воздушной разведки,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целеуказания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корректировки огневого воздействия, а также доставки боевого заряда непосредственно к назначенной цели для ее поражения;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КВО ТЭК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объекты ТЭК, нарушение или прекращение функционирования которых приведет к потере управления экономикой РФ, СРФ или административно-территориальной единицы, ее необратимому негативному изменению (разрушению) либо существенному снижению безопасности жизнедеятельности населения 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 xml:space="preserve">(ФЗ от 21 июля 2011 г.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№ 256-ФЗ «О безопасности объектов топливно-энергетического комплекса»);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spacing w:val="-4"/>
        </w:rPr>
      </w:pPr>
      <w:r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  <w:t>муниципальное образование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городское или сельское поселение, муниципальный район, муниципальный округ, городской округ, городской округ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br/>
        <w:t>с внутригородским делением, внутригородской район либо внутригородская территория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города федерального значения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 (ФЗ от 6 октября 2003 г. № 131-ФЗ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br/>
        <w:t>«Об общих принципах организации местного самоуправления в Российской Федерации»);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межселенная территория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территория, находящаяся вне границ поселений (ФЗ от 6 октября 2003 г. № 131-ФЗ «Об общих принципах организации местного самоуправления в Российской Федерации»);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надежность теплоснабжения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характеристика состояния системы теплоснабжения, при котором обеспечиваются качество и безопасность теплоснабжения (ФЗ от 27 июля 2010 г. № 190-ФЗ «О теплоснабжении»);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НРС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максимальная по численности рабочая смена организации, продолжающая свою деятельность в военное время (ГОСТ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55201-2012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Безопасность в чрезвычайных ситуациях.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Порядок разработки перечня мероприятий по гражданской обороне, мероприятий по предупреждению чрезвычайных ситуаций природного и техногенного характера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проектировании объектов капитального строительства);</w:t>
      </w:r>
      <w:proofErr w:type="gramEnd"/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обеспечение устойчивого функционирования объекта экономики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комплекс организационных, научно-исследовательских, ИТМ, финансово-экономических мероприятий, выполняемых в мирное и военное время силами предприятия (учреждения, организации), а также привлекаемыми организациями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в интересах осуществления заявленного вида деятельности, выполнения государственного заказа </w:t>
      </w:r>
      <w:r>
        <w:rPr>
          <w:rFonts w:ascii="Times New Roman" w:hAnsi="Times New Roman" w:cs="Times New Roman"/>
          <w:color w:val="000000"/>
          <w:sz w:val="28"/>
        </w:rPr>
        <w:t xml:space="preserve">(ГОСТ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</w:rPr>
        <w:t xml:space="preserve"> 22.2.12-2020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 в чрезвычайных ситуациях. Повышение устойчивости функционирования организаций                            в чрезвычайных ситуациях. Основные положения</w:t>
      </w:r>
      <w:r>
        <w:rPr>
          <w:rFonts w:ascii="Times New Roman" w:hAnsi="Times New Roman" w:cs="Times New Roman"/>
          <w:color w:val="000000"/>
          <w:sz w:val="28"/>
        </w:rPr>
        <w:t>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Style w:val="af2"/>
          <w:rFonts w:ascii="Times New Roman" w:hAnsi="Times New Roman" w:cs="Times New Roman"/>
          <w:color w:val="000000"/>
          <w:sz w:val="28"/>
          <w:szCs w:val="24"/>
        </w:rPr>
        <w:t xml:space="preserve">объект ЖОН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предприятие, организация или учреждение, деятельность которого направлена на решение вопросов ПЖОН, достаточного для сохранения жизни и поддержания здоровья людей при военных конфликтах, а также                        при ЧС </w:t>
      </w:r>
      <w:r>
        <w:rPr>
          <w:rFonts w:ascii="Times New Roman" w:hAnsi="Times New Roman" w:cs="Times New Roman"/>
          <w:color w:val="000000"/>
          <w:sz w:val="28"/>
        </w:rPr>
        <w:t xml:space="preserve">(ГОСТ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</w:rPr>
        <w:t xml:space="preserve"> 22.2.12-2020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Безопасность в чрезвычайных ситуациях. Повышение устойчивости функционирования организаций в чрезвычайных ситуациях.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положения</w:t>
      </w:r>
      <w:r>
        <w:rPr>
          <w:rFonts w:ascii="Times New Roman" w:hAnsi="Times New Roman" w:cs="Times New Roman"/>
          <w:color w:val="000000"/>
          <w:sz w:val="28"/>
        </w:rPr>
        <w:t>);</w:t>
      </w:r>
      <w:proofErr w:type="gramEnd"/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объекты теплоснабжения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источники тепловой энергии, тепловые сети или их совокупность (ФЗ от 27 июля 2010 г. № 190-ФЗ «О теплоснабжении»);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объекты ТЭК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объекты электроэнергетики, нефтедобывающей, нефтеперерабатывающей, нефтехимической, газовой, угольной, сланцевой                        и торфяной промышленности, а также объекты нефтепродуктообеспечения, теплоснабжения и газоснабжения (ФЗ от 21 июля 2011 г. № 256-ФЗ                                «О безопасности объектов топливно-энергетического комплекса»);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 экономики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организация, осуществляющая экономическую деятельность (ГОСТ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22.0.02-2016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Безопасность в чрезвычайных ситуациях.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Термины и определения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);</w:t>
      </w:r>
      <w:proofErr w:type="gramEnd"/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обособленное подразделение организации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любое территориально обособленное от нее подразделение, по месту нахождения которого оборудованы стационарные рабочие места. Признание обособленного подразделения организации таковым производится независимо от того, отражено или не отражено его создание в учредительных или иных организационно-распорядительных документах организации, и от полномочий, которыми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наделяется указанное подразделение. При этом рабочее место считается стационарным, если оно создается на срок более одного месяца (Налоговый кодекс РФ от 31 июля 1998 г. № 146-ФЗ);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spacing w:val="-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организация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 – юридическое лицо, образованное в соответствии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br/>
        <w:t xml:space="preserve">с законодательством РФ (российская организация), а также иностранные юридические лица, компании и другие корпоративные образования, обладающие гражданской правоспособностью, созданные в соответствии с законодательством иностранных государств, международные организации, филиалы и представительства указанных иностранных лиц и международных организаций, созданные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br/>
        <w:t>на территории РФ (ин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остранные организации) (Налоговый кодекс РФ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от 31 июля 1998  г. № 146-ФЗ);</w:t>
      </w:r>
      <w:proofErr w:type="gramEnd"/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организация, осуществляющая холодное водоснабжение и (или) водоотведение (организация водопроводно-канализационного хозяйства)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юридическое лицо, осуществляющее эксплуатацию централизованных систем холодного водоснабжения и (или) водоотведения, отдельных объектов таких систем (ФЗ от 7 декабря 2011 г. № 416-ФЗ «О водоснабжении и водоотведении»);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организация, осуществляющая горячее водоснабжение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юридическое лицо, осуществляющее эксплуатацию централизованной системы горячего водоснабжения, отдельных объектов такой системы (ФЗ от 7 декабря 2011 г.                  № 416-ФЗ «О водоснабжении и водоотведении»);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ОМСУ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избираемые непосредственно населением и (или) образуемые представительным органом муниципального образования органы, наделенные собственными полномочиями по решению вопросов местного значения                          (ФЗ от 6 октября 2003 г. № 131-ФЗ «Об общих принципах организации местного самоуправления в Российской Федерации»);</w:t>
      </w:r>
      <w:proofErr w:type="gramEnd"/>
    </w:p>
    <w:p w:rsidR="00817E2C" w:rsidRDefault="00B7115B">
      <w:pPr>
        <w:widowControl w:val="0"/>
        <w:spacing w:after="0" w:line="360" w:lineRule="auto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показатели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показатели, применяемые для контроля за исполнением обязательств концессионера по созданию и (или) реконструкции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объектов концессионного соглашения, реализацией инвестиционной программы, производственной программы организацией, осуществляющей горячее водоснабжение, холодное водоснабжение и (или) водоотведение, а также в целях регулирования тарифов (ФЗ от 7 декабря 2011 г. № 416-ФЗ «О водоснабжении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водоотведении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»); 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поставщик (газоснабжающая организация)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собственник газа                    или уполномоченное им лицо, осуществляющие поставки газа потребителям              по договорам (ФЗ от 31 марта 1999 г. № 69-ФЗ «О газоснабжении в Российской Федерации»);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сеть связи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технологическая система, включающая в себя средства и линии связи и предназначенная для электросвязи или почтовой связи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(ФЗ от 7 июля 2003 г. № 126-ФЗ «О связи»);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система газоснабжения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имущественный производственный комплекс, состоящий из технологически, организационно и экономически взаимосвязанных и централизованно управляемых производственных и иных объектов, предназначенных для добычи, транспортировки, хранения, поставок газа                        (ФЗ от 31 марта 1999 г. № 69-ФЗ «О газоснабжении в Российской Федерации»);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системы коммунальной инфраструктуры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совокупность производственных и имущественных объектов, в том числе трубопроводов, ЛЭП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 иных объектов, используемых в сфере электро-, тепло-, водоснабжения, водоотведения и очистки сточных вод, расположенных полностью или частично           в границах территорий муниципальных образований и предназначенных для нужд потребителей этих муниципальных образований (постановление Правительства РФ от 6 мая 2011 г. № 354 «О предоставлении коммунальных услуг собственникам и пользователям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помещений в многоквартирных домах и жилых домов»);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сооружения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объекты капитального строительства, в частности, такие сооружения, как дамба, мост, дорога, железная дорога, взлетно-посадочная полоса, инженерные коммуникации, трубопровод, канализационная система или результат дноуглубительных работ, земляных работ, геотехнических процессов,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за исключением зданий и относящихся к ним строений на территории строительной площадки (ГОСТ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ИСО 6707-1-2020 Здания и сооружения.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Общие термины);</w:t>
      </w:r>
      <w:proofErr w:type="gramEnd"/>
    </w:p>
    <w:p w:rsidR="00817E2C" w:rsidRDefault="00B7115B">
      <w:pPr>
        <w:widowControl w:val="0"/>
        <w:spacing w:after="0" w:line="348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теплоснабжение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обеспечение потребителей тепловой энергией, теплоносителем, в т. ч. поддержание мощности (ФЗ от 27 июля 2010 г. № 190-ФЗ «О теплоснабжении»);</w:t>
      </w:r>
    </w:p>
    <w:p w:rsidR="00817E2C" w:rsidRDefault="00B7115B">
      <w:pPr>
        <w:widowControl w:val="0"/>
        <w:spacing w:after="0" w:line="348" w:lineRule="auto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теплоснабжающая организация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                   на праве собственности или ином законном основании источниками тепловой энергии и (или) тепловыми сетями в системе теплоснабжения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(ФЗ от 27 июля 2010 г. № 190-ФЗ «О теплоснабжении»);</w:t>
      </w:r>
      <w:proofErr w:type="gramEnd"/>
    </w:p>
    <w:p w:rsidR="00817E2C" w:rsidRDefault="00B7115B">
      <w:pPr>
        <w:widowControl w:val="0"/>
        <w:spacing w:after="0" w:line="348" w:lineRule="auto"/>
        <w:ind w:firstLine="709"/>
        <w:jc w:val="both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теплосетевая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организация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организация, оказывающая услуги по передаче тепловой энергии (ФЗ от 27 июля 2010 г. № 190-ФЗ «О теплоснабжении»);</w:t>
      </w:r>
    </w:p>
    <w:p w:rsidR="00817E2C" w:rsidRDefault="00B7115B">
      <w:pPr>
        <w:widowControl w:val="0"/>
        <w:spacing w:after="0" w:line="348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ПЖОН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совокупность согласованных по времени, ресурсам и месту проведения органами управления, силами и средствами РСЧС мероприятий, направленных на создание и поддержание условий, минимально необходимых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для сохранения жизни и поддержания здоровья людей в зонах ЧС, на маршрутах их эвакуации и в местах размещения эвакуированных по нормам и нормативам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для условий ЧС, разработанным и утвержденным в установленном порядке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(ГОСТ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22.3.05-2022 Безопасность в чрезвычайных ситуациях. Первоочередное жизнеобеспечение пострадавшего населения. Термины и определения);</w:t>
      </w:r>
    </w:p>
    <w:p w:rsidR="00817E2C" w:rsidRDefault="00B7115B">
      <w:pPr>
        <w:widowControl w:val="0"/>
        <w:spacing w:after="0" w:line="348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ПЖОН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деятельность по удовлетворению первоочередной потребности пострадавшего в ЧС населения (ГОСТ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22.3.05-2022 Безопасность в чрезвычайных ситуациях. Первоочередное жизнеобеспечение пострадавшего населения. Термины и определения);</w:t>
      </w:r>
    </w:p>
    <w:p w:rsidR="00817E2C" w:rsidRDefault="00B7115B">
      <w:pPr>
        <w:widowControl w:val="0"/>
        <w:spacing w:after="0" w:line="348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система ПЖОН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совокупность органов управления, сил и средств ПЖОН, входящих в звенья территориальных и функциональных подсистем РСЧС, предназначенных для создания и поддержания условий, минимально необходимых для сохранения жизни и поддержания здоровья людей в зоне ЧС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</w:rPr>
        <w:lastRenderedPageBreak/>
        <w:t xml:space="preserve">(ГОСТ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</w:rPr>
        <w:t xml:space="preserve"> 22.3.05-2022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 в чрезвычайных ситуациях. Первоочередное жизнеобеспечение пострадавшего населения. Термины и определения</w:t>
      </w:r>
      <w:r>
        <w:rPr>
          <w:rFonts w:ascii="Times New Roman" w:hAnsi="Times New Roman" w:cs="Times New Roman"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817E2C" w:rsidRDefault="00B7115B">
      <w:pPr>
        <w:widowControl w:val="0"/>
        <w:spacing w:after="0" w:line="348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средства ПЖОН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коммунально-бытовые и производственные предприятия, сооружения и технические средства, производимая ими продукция и оказываемые услуги, резервы (запасы) материальных ресурсов, используемые для ПЖОН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при возникновении ЧС (ГОСТ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22.3.05-2022 Безопасность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в чрезвычайных ситуациях. Первоочередное жизнеобеспечение пострадавшего населения.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Термины и определения);</w:t>
      </w:r>
      <w:proofErr w:type="gramEnd"/>
    </w:p>
    <w:p w:rsidR="00817E2C" w:rsidRDefault="00B7115B">
      <w:pPr>
        <w:spacing w:after="0" w:line="348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устойчивость функционирования объектов экономики и ЖОН                 при военных конфликтах, а также при ЧС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color w:val="000000"/>
          <w:sz w:val="28"/>
        </w:rPr>
        <w:t xml:space="preserve"> способность объектов экономики  </w:t>
      </w:r>
      <w:r>
        <w:rPr>
          <w:rFonts w:ascii="Times New Roman" w:hAnsi="Times New Roman" w:cs="Times New Roman"/>
          <w:color w:val="000000"/>
          <w:sz w:val="28"/>
        </w:rPr>
        <w:br/>
        <w:t xml:space="preserve">и ЖОН противостоять опасностям, возникающим при военных конфликтах, вследствие этих конфликтов или при ЧС, с целью поддержания выпуска продукции или оказания услуг в запланированном объеме и номенклатуре; предотвращения или ограничения угрозы жизни и здоровью персонала, населения и материального ущерба, а также с целью восстановления в минимальные сроки утраченных функций объектов (ГОСТ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</w:rPr>
        <w:t xml:space="preserve"> 22.2.12-2020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Безопасность в чрезвычайных ситуациях. Повышение устойчивости функционирования организаций в чрезвычайных ситуациях.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положения</w:t>
      </w:r>
      <w:r>
        <w:rPr>
          <w:rFonts w:ascii="Times New Roman" w:hAnsi="Times New Roman" w:cs="Times New Roman"/>
          <w:color w:val="000000"/>
          <w:sz w:val="28"/>
        </w:rPr>
        <w:t>).</w:t>
      </w:r>
      <w:proofErr w:type="gramEnd"/>
    </w:p>
    <w:p w:rsidR="00817E2C" w:rsidRDefault="00817E2C">
      <w:pPr>
        <w:spacing w:after="0" w:line="348" w:lineRule="auto"/>
        <w:ind w:firstLine="709"/>
        <w:jc w:val="both"/>
        <w:rPr>
          <w:sz w:val="28"/>
          <w:szCs w:val="28"/>
        </w:rPr>
      </w:pP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 Сфера действия Методических рекомендаций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по защите ОПФ организаций, необходимых для выживания населения при военных конфликтах или вследствие этих конфликтов, являются составной частью выполнения задачи ГО по обеспечению устойчивого функционирования организа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ций, необходимых для выживания населения                          в рассматриваемых условиях, а также в интересах обеспечения устойчивости экономики. Требования изложены в статьях 2, 7, 8 ФЗ РФ от 12 февраля 1998 г.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№ 28-ФЗ «О гражданской обороне».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Положение о гражданской обороне в РФ (далее - Положение о ГО в РФ), утвержденное постановлением Правительства РФ от 26 ноября 2007 г. № 804,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конкретизирует мероприятия по выполнению рассматриваемых задач.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пунктом 20 Положения о ГО в РФ, а также пунктом 16.13 Положения о ГО в МО и организациях одним из основных мероприятий ГО является «повышение эффективности защиты производственных фондов                    при воздействии на них современных средств поражения».</w:t>
      </w:r>
    </w:p>
    <w:p w:rsidR="00817E2C" w:rsidRDefault="00B7115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организаций, необходимых для выживания населения при военных конфликтах или вследствие этих конфликтов, включает: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объектов городского хозяйства – объекты организаций, используемых для обслуживания материальных и бытовых потребностей населения;</w:t>
      </w:r>
    </w:p>
    <w:p w:rsidR="00817E2C" w:rsidRDefault="00B7115B">
      <w:pPr>
        <w:spacing w:after="0" w:line="360" w:lineRule="auto"/>
        <w:ind w:firstLine="709"/>
        <w:jc w:val="both"/>
        <w:textAlignment w:val="top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организации, эксплуатирующие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системы коммунальной инфраструктуры (коммунальные службы)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т. ч. эксплуатирующие газораспределительную систему и газораспределительные сети, а также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1"/>
          <w:lang w:eastAsia="ru-RU"/>
        </w:rPr>
        <w:t>газотранспортные организации;</w:t>
      </w:r>
    </w:p>
    <w:p w:rsidR="00817E2C" w:rsidRDefault="00B7115B">
      <w:pPr>
        <w:spacing w:after="0" w:line="360" w:lineRule="auto"/>
        <w:ind w:firstLine="709"/>
        <w:jc w:val="both"/>
        <w:textAlignment w:val="top"/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1"/>
          <w:lang w:eastAsia="ru-RU"/>
        </w:rPr>
        <w:t xml:space="preserve">гарантирующие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организации, осуществляющие холодное водоснабжение              и (или) водоотведение на территории муниципальных образований в объеме, достаточном для ПЖОН (по решению ОМСУ);</w:t>
      </w:r>
    </w:p>
    <w:p w:rsidR="00817E2C" w:rsidRDefault="00B7115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организации, осуществляющие горячее водоснабжение;</w:t>
      </w:r>
    </w:p>
    <w:p w:rsidR="00817E2C" w:rsidRDefault="00B7115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теплоснабжающие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теплосетевые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организации;</w:t>
      </w:r>
    </w:p>
    <w:p w:rsidR="00817E2C" w:rsidRDefault="00B7115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электросетевые организации.</w:t>
      </w:r>
    </w:p>
    <w:p w:rsidR="00817E2C" w:rsidRDefault="00B7115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организации, продолжающие работу в военное время: </w:t>
      </w:r>
    </w:p>
    <w:p w:rsidR="00817E2C" w:rsidRDefault="00B7115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поставщики ресурсов для нужд ЖОН;</w:t>
      </w:r>
    </w:p>
    <w:p w:rsidR="00817E2C" w:rsidRDefault="00B7115B">
      <w:pPr>
        <w:spacing w:after="0" w:line="360" w:lineRule="auto"/>
        <w:ind w:firstLine="709"/>
        <w:jc w:val="both"/>
        <w:textAlignment w:val="top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организации, эксплуатирующие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>КВО ТЭК,</w:t>
      </w:r>
    </w:p>
    <w:p w:rsidR="00817E2C" w:rsidRDefault="00B7115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часть организаций оптовой и розничной торговли (устанавливается ОМСУ);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организации </w:t>
      </w:r>
      <w:r>
        <w:rPr>
          <w:rFonts w:ascii="Times New Roman" w:hAnsi="Times New Roman" w:cs="Times New Roman"/>
          <w:color w:val="000000"/>
          <w:sz w:val="28"/>
          <w:szCs w:val="28"/>
        </w:rPr>
        <w:t>здравоохранения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17E2C" w:rsidRDefault="00B7115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системы связи и массовых коммуникаций;</w:t>
      </w:r>
    </w:p>
    <w:p w:rsidR="00817E2C" w:rsidRDefault="00B7115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общественного питания (состав устанавливается ОМСУ);</w:t>
      </w:r>
    </w:p>
    <w:p w:rsidR="00817E2C" w:rsidRDefault="00B7115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сельскохозяйственных отраслей экономики;</w:t>
      </w:r>
    </w:p>
    <w:p w:rsidR="00817E2C" w:rsidRDefault="00B7115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транспортные организации;</w:t>
      </w:r>
    </w:p>
    <w:p w:rsidR="00817E2C" w:rsidRDefault="00B7115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организации ЖКХ, обслуживающие жилой фонд; </w:t>
      </w:r>
    </w:p>
    <w:p w:rsidR="00817E2C" w:rsidRDefault="00B7115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градообразующие организации моногородов;</w:t>
      </w: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</w:rPr>
        <w:t>предприятия агропромышленного комплекса;</w:t>
      </w:r>
    </w:p>
    <w:p w:rsidR="00817E2C" w:rsidRDefault="00B7115B">
      <w:pPr>
        <w:spacing w:after="0" w:line="348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</w:rPr>
        <w:lastRenderedPageBreak/>
        <w:t xml:space="preserve">объекты пищевой и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мясо-молочной</w:t>
      </w:r>
      <w:proofErr w:type="gramEnd"/>
      <w:r>
        <w:rPr>
          <w:rFonts w:ascii="Times New Roman" w:hAnsi="Times New Roman" w:cs="Times New Roman"/>
          <w:color w:val="000000"/>
          <w:sz w:val="28"/>
        </w:rPr>
        <w:t xml:space="preserve"> промышленности, хлебозаводы, холодильники и т.п.;</w:t>
      </w:r>
    </w:p>
    <w:p w:rsidR="00817E2C" w:rsidRDefault="00B7115B">
      <w:pPr>
        <w:spacing w:after="0" w:line="348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</w:rPr>
        <w:t xml:space="preserve">предприятия торговли и общественного питания, бытовой инфраструктуры </w:t>
      </w:r>
      <w:r>
        <w:rPr>
          <w:rFonts w:ascii="Times New Roman" w:hAnsi="Times New Roman" w:cs="Times New Roman"/>
          <w:color w:val="000000"/>
          <w:sz w:val="28"/>
        </w:rPr>
        <w:br/>
        <w:t>и жилищно-коммунального обслуживания;</w:t>
      </w:r>
    </w:p>
    <w:p w:rsidR="00817E2C" w:rsidRDefault="00B7115B">
      <w:pPr>
        <w:spacing w:after="0" w:line="348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</w:rPr>
        <w:t>организации материально-технического и продовольственного снабжения;</w:t>
      </w:r>
    </w:p>
    <w:p w:rsidR="00817E2C" w:rsidRDefault="00B7115B">
      <w:pPr>
        <w:spacing w:after="0" w:line="348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</w:rPr>
        <w:t>предприятия городского и междугороднего транспорта;</w:t>
      </w:r>
    </w:p>
    <w:p w:rsidR="00817E2C" w:rsidRDefault="00B7115B">
      <w:pPr>
        <w:spacing w:after="0" w:line="348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</w:rPr>
        <w:t>муниципальные ремонтно-восстановительные службы и др.</w:t>
      </w:r>
    </w:p>
    <w:p w:rsidR="00817E2C" w:rsidRDefault="00B7115B">
      <w:pPr>
        <w:spacing w:after="0" w:line="348" w:lineRule="auto"/>
        <w:ind w:firstLine="709"/>
        <w:jc w:val="both"/>
        <w:textAlignment w:val="top"/>
        <w:rPr>
          <w:spacing w:val="-2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Промышленные предприятия, являющиеся градообразующими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и (или) являющиеся частью систем жизнеобеспечения городских поселений (обеспечивающие городское поселение водой, теплоносителем, горячим водоснабжением), рассматриваются как организации, необходимые для выживания населения при военных конфликтах. К таким могут быть отнесены металлургические производства (черной или цветной металлургии) промышленных предприятий, нефтеперерабатывающие заводы, исследовательские и другие организации.</w:t>
      </w:r>
    </w:p>
    <w:p w:rsidR="00817E2C" w:rsidRDefault="00B7115B">
      <w:pPr>
        <w:spacing w:after="0" w:line="348" w:lineRule="auto"/>
        <w:ind w:firstLine="709"/>
        <w:jc w:val="both"/>
        <w:textAlignment w:val="top"/>
        <w:rPr>
          <w:rFonts w:ascii="Times New Roman" w:hAnsi="Times New Roman" w:cs="Times New Roman"/>
          <w:color w:val="000000"/>
          <w:spacing w:val="-2"/>
          <w:sz w:val="28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4"/>
        </w:rPr>
        <w:t>Перечень организаций, необходимых для выживания населения при военных конфликтах или вследствие этих конфликтов, формируется и утверждается ФОИВ, государственными корпорациями (компаниями), ИО СРФ, ОМСУ, исходя из ведомственной принадлежности и находящихся в их ведении.</w:t>
      </w:r>
    </w:p>
    <w:p w:rsidR="00817E2C" w:rsidRDefault="00B7115B">
      <w:pPr>
        <w:spacing w:after="0" w:line="348" w:lineRule="auto"/>
        <w:ind w:firstLine="709"/>
        <w:jc w:val="both"/>
        <w:textAlignment w:val="top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условиях военного конфликта, введения особого правового режима                       и </w:t>
      </w:r>
      <w:r>
        <w:rPr>
          <w:rFonts w:ascii="Times New Roman" w:hAnsi="Times New Roman" w:cs="Times New Roman"/>
          <w:color w:val="000000"/>
          <w:sz w:val="28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формировании штаба территориальной обороны – состав организаций уточняется органом военного командования. В состав перечня не включаются военные объекты.</w:t>
      </w:r>
    </w:p>
    <w:p w:rsidR="00817E2C" w:rsidRDefault="00817E2C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 Актуальность задачи по защите основных производственных фондов организаций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военных конфликтов и опыт СВО показывает высокую степень вероятности поражения объектов и систем ЖОН, гражданских объектов в зоне военного конфликта,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в результате разведывательно-диверсионной деятельности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br/>
        <w:t xml:space="preserve">и террористической активности военизированных групп противника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br/>
        <w:t>на территории РФ.</w:t>
      </w:r>
    </w:p>
    <w:p w:rsidR="00817E2C" w:rsidRDefault="00B7115B">
      <w:pPr>
        <w:widowControl w:val="0"/>
        <w:spacing w:after="0" w:line="336" w:lineRule="auto"/>
        <w:ind w:firstLine="709"/>
        <w:jc w:val="both"/>
        <w:rPr>
          <w:spacing w:val="-2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>Коммунальные службы, организации и эксплуатируемые ими объекты рассматриваются противоборствующей стороной как цель поражения. В первую очередь это касается объектов и систем водоснабжения, горячего водоснабжения, электроснабжения и ТЭК муниципальных образований. В ходе современных военных конфликтов фиксируются различные нарушения норм МГП. Предусмотренные нормами ограничения в методах и средствах вооруженной борьбы по гражданским объектам не выполняются. Этим нарушениям способствуют развитие ССП и технологии привлечения частных военных кампаний в локальных конфликтах и ситуациях, связанных с военными конфликтами.</w:t>
      </w:r>
    </w:p>
    <w:p w:rsidR="00817E2C" w:rsidRDefault="00B7115B">
      <w:pPr>
        <w:widowControl w:val="0"/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реализации задачи по защите ОПФ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обусловлена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необходимостью минимизации ущерба и сохранения производственного потенциала; важностью предупреждения возникновения вторичных факторов поражения; созданием условий для выживания населения в военное время; возможностью предупреждения необратимых процессов в экономике и ущерба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окружающей среды.</w:t>
      </w:r>
    </w:p>
    <w:p w:rsidR="00817E2C" w:rsidRDefault="00B7115B">
      <w:pPr>
        <w:widowControl w:val="0"/>
        <w:spacing w:after="0" w:line="336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Защита объектов и систем жизнеобеспечения в условиях массовых беспорядков, военного конфликта имеет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значение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стабилизации условий жизнедеятельности населения в зонах конфликта.</w:t>
      </w:r>
    </w:p>
    <w:p w:rsidR="00817E2C" w:rsidRDefault="00817E2C">
      <w:pPr>
        <w:widowControl w:val="0"/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1.4 Цель и основной метод выполнения задачи по защите основных производственных фондов организаций</w:t>
      </w:r>
    </w:p>
    <w:p w:rsidR="00817E2C" w:rsidRDefault="00B7115B">
      <w:pPr>
        <w:widowControl w:val="0"/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выполнения задачи по защите ОПФ организаций, необходимых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выживания населения при военных конфликтах или вследствие этих конфликтов, является сохранение материальных ценностей, сокращение ущерба при поражении, создание условий, способствующих устойчивому функционированию эксплуатируемых в условиях военного конфликта объектов систем ЖОН.</w:t>
      </w:r>
    </w:p>
    <w:p w:rsidR="00817E2C" w:rsidRDefault="00B7115B">
      <w:pPr>
        <w:widowControl w:val="0"/>
        <w:spacing w:after="0" w:line="336" w:lineRule="auto"/>
        <w:ind w:firstLine="709"/>
        <w:jc w:val="both"/>
        <w:rPr>
          <w:spacing w:val="-2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Основным методом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выполнения мероприятий по защите ОПФ является метод снижения нагрузки воздействия поражающих факторов ССП на защищаемый объект. Рекомендуемый вид защиты силами организации – пассивная защита. </w:t>
      </w:r>
    </w:p>
    <w:p w:rsidR="00817E2C" w:rsidRDefault="00B7115B">
      <w:pPr>
        <w:widowControl w:val="0"/>
        <w:spacing w:after="0" w:line="336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Масштабное (повсеместное) выполнение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мероприятий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защите ОПФ эксплуатируемых объектов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обеспечению устойчивости экономики государства в условиях военного конфликта и выживанию населения при военных конфликтах или вследствие этих конфликтов.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1.5 Рекомендуемые принципы выполнения мероприятий по защите основных производственных фондов организаций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ПУФ организаций, необходимых для выживания населения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военных конфликтах или вследствие этих конфликтов, рекомендованы принципы, позволяющие адекватно реагировать на изменения условий функционирования эксплуатируемых объектов организаций.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1.5.1 Принципы защиты ОПФ объектов экономики – это исходные положения, являющиеся руководящим правилом при выборе, планировании                  и реализации мероприятий по защите ОПФ при воздействии ССП.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1.5.2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выборе, планировании и реализации мероприятий по защите ОПФ от поражающих факторов ССП рекомендуется руководствоваться следующими основными принципами: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1.5.2.1 Единоначалие и персональная ответственность за организацию                 и выполнение мероприятий по защите ОПФ объектов экономики. </w:t>
      </w:r>
    </w:p>
    <w:p w:rsidR="00817E2C" w:rsidRDefault="00B7115B">
      <w:pPr>
        <w:widowControl w:val="0"/>
        <w:spacing w:after="0" w:line="348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рационально распределить имеющиеся силы для выполнения мероприятий ГО и задач непрерывной хозяйственной деятельности, предотвратить планирование ограниченных ресурсов организации, привлекаемых для этих целей одновременно к выполнению других задач.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1.5.2.2 Заблаговременность (превентивность) и своевременность.                    Мероприятия ГО планируются заблаговременно на основе прогноза возможной обстановки. Для прогнозирования используются методики, утвержденные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МЧС России и Федеральной службой по экологическому, технологическому                              и атомному надзору. 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Одними из инструментов прогнозирования являются методы, приведенные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следующих государственных стандартах РФ: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spacing w:val="-2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ГОСТ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42.2.01-2014 «Гражданская оборона. Оценка состояния потенциально опасных объектов, объектов обороны и безопасности в условиях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>воздействия поражающих факторов обычных средств поражения. Методы расчета»;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22.2.12-2020 «Безопасность в чрезвычайных ситуациях. Повышение устойчивости функционирования организаций в чрезвычайных ситуациях. Основные положения».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 учетом важности задачи и необходимости заблаговременного планирования, а также эффективного распределения ресурсов, подготовка мероприятий по защите ОПФ учитывается в приложении к Плану ГО «План наращивания мероприятий по повышению устойчивости функционирования организации, отнесенной в установленном порядке к категории по гражданской обороне (или организаций, необходимых для выживания населения при военных конфликтах или вследствие этих конфликтов)».</w:t>
      </w:r>
      <w:proofErr w:type="gramEnd"/>
    </w:p>
    <w:p w:rsidR="00817E2C" w:rsidRDefault="00B7115B">
      <w:pPr>
        <w:widowControl w:val="0"/>
        <w:spacing w:after="0" w:line="348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1.5.2.3 Комплексность. Усилия органов управления по защите ОПФ организаций, продолжающих работу в военное время, имеют широкий диапазон взаимозависимых направлений реагирования и требуют комплексного подхода. Невыполнение части общих мероприятий по ПУФ и по подготовке организаций                 к работе в условиях военного конфликта может обесценить затраты организации на защиту ОПФ. Положительный эффект возможен, когда руководитель ГО имеет широкий спектр инструментов, технологий, методов и средств, для выполнения задачи обеспечения устойчивости организации.</w:t>
      </w:r>
    </w:p>
    <w:p w:rsidR="00817E2C" w:rsidRDefault="00B7115B">
      <w:pPr>
        <w:widowControl w:val="0"/>
        <w:spacing w:after="0" w:line="348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1.5.2.4 Принцип обоснованной достаточности предполагает соразмерность планируемых сил и средств существующей угрозе. Невозможно создать производственные системы, эксплуатируемые организациями, абсолютно устойчивыми ко всем возможным поражающим воздействиям ССП. Мероприятия по защите ОПФ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ограничиваются тем, что необходимо максимально сократить объем разрушений эксплуатируемых ОПФ, защитить наиболее важное оборудование и персонал, создать условия к быстрому восстановлению либо                     к безаварийной остановке производства.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рекомендуется использовать средства и технологии защиты ОПФ, превышающие по затратам стоимость (остаточную стоимость) защищаемого              ими оборудования и средств (за исключением ОПО и уникальных объектов).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Объем и состав ИТМ по защите ОПФ зависят от важности организации                в экономике страны, региона и муниципального образования и от сложности прогнозируемых условий ее функционирования в период военного конфликта.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1.5.2.5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(принцип различия) мероприятий. Проблема защиты ОПФ, как составная часть работ по обеспечению устойчивого функционирования, актуальна только для организаций, продолжающих работу               в военное время.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«различия» применим к объектам в соответствии с нормами МГП, где отмечается особая охрана МГП гражданских объектов и объектов, необходимых для выживания населения.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1.5.2.6 Всеобщность. В подготовке организации к защите ОПФ в условиях военного конфликта должны принимать участие все ее штатные подразделения,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 ОМСУ и ИО СРФ – все заинтересованные и имеющие соответствующие полномочия структурные подразделения.</w:t>
      </w:r>
    </w:p>
    <w:p w:rsidR="00817E2C" w:rsidRDefault="00817E2C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1.6 Общие вопросы защиты основных производственных фондов организаций</w:t>
      </w:r>
    </w:p>
    <w:p w:rsidR="00817E2C" w:rsidRDefault="00B7115B">
      <w:pPr>
        <w:widowControl w:val="0"/>
        <w:spacing w:after="0" w:line="348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эксплуатируемых объектов организаций являются уязвимыми в отношении поражающих факторов ССП. Подготавливаемый к работе в условиях военного конфликта объект не в состоянии самостоятельно обеспечить высокую степень защиты. Тем более это сложно сделать, когда увеличение степени защиты важного объекта (например, критической инфраструктуры) потенциально влечет увеличение мощности применяемых противоборствующей стороной боеприпасов. В организации для эксплуатируемых объектов выполняется защита настолько объемно, насколько это возможно.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Часть мероприятий ГО, в том числе в интересах ПУФ для элементов объектов экономики, учитываются на этапе проектирования ОПФ (также капитального ремонта, реконструкции, перепрофилирования, модернизации, восстановления)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соответствии с пунктом 18 статьи 48 Градостроительного кодекса РФ. Состав мероприятий должен соответствовать положениям пункта 6.2.2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ГОСТ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55201–2012 «Безопасность в чрезвычайных ситуациях. Порядок разработки перечня мероприятий по гражданской обороне, мероприятий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предупреждению чрезвычайных ситуаций природного и техногенного характера при проектировании объектов капитального строительства».</w:t>
      </w:r>
    </w:p>
    <w:p w:rsidR="00817E2C" w:rsidRDefault="00B7115B">
      <w:pPr>
        <w:widowControl w:val="0"/>
        <w:spacing w:after="0" w:line="367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подготовки к планированию мероприятий по защите рассматриваются все возможные варианты обстановки по воздействию опасных факторов на ОПФ. При этом выделяются наиболее опасный и наиболее вероятный сценарии применения ССП по объектам организации. В основе действий по реагированию на сложившуюся обстановку рекомендуется предусматривать оба указанных сценария. Исходные данные для организации работы могут быть предоставлены ОМСУ по запросу. Некоторые средства поражения по объектам экономики представлены в таблице 1.</w:t>
      </w:r>
    </w:p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B711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1. Наиболее эффективные в неядерном исполнении средства поражения промышленных объектов, систем и объектов инфраструктуры муниципальных образований</w:t>
      </w:r>
    </w:p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22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5386"/>
        <w:gridCol w:w="4536"/>
      </w:tblGrid>
      <w:tr w:rsidR="00817E2C">
        <w:trPr>
          <w:trHeight w:val="407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Международный вооруженный конфликт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Внутренний вооруженный конфликт </w:t>
            </w:r>
          </w:p>
        </w:tc>
      </w:tr>
      <w:tr w:rsidR="00817E2C"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 в обычном снаряжении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Емкости с зажигательной смесью</w:t>
            </w:r>
          </w:p>
        </w:tc>
      </w:tr>
      <w:tr w:rsidR="00817E2C"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Ракетные системы,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</w:t>
            </w:r>
            <w:proofErr w:type="gram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Таранные конструкции и средства</w:t>
            </w:r>
          </w:p>
        </w:tc>
      </w:tr>
      <w:tr w:rsidR="00817E2C"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РСЗО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Самодельные минометные установки</w:t>
            </w:r>
          </w:p>
        </w:tc>
      </w:tr>
      <w:tr w:rsidR="00817E2C"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Зажигательные и кассетные боеприпасы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самодельные взрывные устройства</w:t>
            </w:r>
          </w:p>
        </w:tc>
      </w:tr>
      <w:tr w:rsidR="00817E2C"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Серийные БАС (БВС) военного назначения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коптеры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самодельные), несущие боевой заряд</w:t>
            </w:r>
          </w:p>
        </w:tc>
      </w:tr>
    </w:tbl>
    <w:p w:rsidR="00817E2C" w:rsidRDefault="00817E2C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общего состава поражающих факторов ССП рекомендуется предусматривать защиту обоснованно выбранной части ОПФ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ВУВ;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осколочной массы АБ,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ракетных боеприпасов, боевых зарядов БВС (самолетного, вертолетного типов,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-камикадзе (барражирующих боеприпасов),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прямого воздействия СО и артиллерийских средств калибром до 100 мм; экстремального нагрева среды от возгораний, последствий взрывов на ОПО; прогрессирующего обрушения ограждающих конструкций, обрушения вертикальных сооружений и других вторичных факторов; </w:t>
      </w:r>
      <w:r>
        <w:rPr>
          <w:rFonts w:ascii="Times New Roman" w:hAnsi="Times New Roman" w:cs="Times New Roman"/>
          <w:color w:val="000000"/>
          <w:sz w:val="28"/>
          <w:szCs w:val="24"/>
        </w:rPr>
        <w:t>волны прорыва ГТС; теплового излучения при возникновении очагов горения.</w:t>
      </w: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Ввиду сложности организации защиты фундаментов зданий от воздействия упругой волны, распространяющейся в грунте – усиление несущей способности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фундаментов не планируется.</w:t>
      </w: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Защита верхних этажей зданий ограничивается несущей способностью строительных конструкций. Здесь защита возможна от поражения СО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БВС,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17E2C" w:rsidRDefault="00B7115B">
      <w:pPr>
        <w:widowControl w:val="0"/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защита ОПФ планируется от поражающего действия части ССП и вторичных факторов его применения.</w:t>
      </w:r>
    </w:p>
    <w:p w:rsidR="00817E2C" w:rsidRDefault="00B7115B">
      <w:pPr>
        <w:widowControl w:val="0"/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отношении предупреждения поражения высокоточными боеприпасами, ударными БВС,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-камикадзе (барражирующими боеприпасами) либо подвесными зарядами (боеприпасами)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проводиться мероприятия комплексной маскировки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требований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 264.1325800.2016. Световая маскировка населенных пунктов и объектов народного хозяйства. Актуализированная редакция </w:t>
      </w:r>
      <w:hyperlink r:id="rId13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СНиП 2.01.53-84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– СП 264.1325800.2016). Применение по объектам экономики ВТО опасно не только для наземных,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и подземных сооружений, в том числе ЗС.</w:t>
      </w:r>
    </w:p>
    <w:p w:rsidR="00817E2C" w:rsidRDefault="00817E2C">
      <w:pPr>
        <w:widowControl w:val="0"/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ХАРАКТЕРИСТИКА ОЧАГОВ ПОРАЖЕНИЯ НА ТЕРРИТОРИИ ЭКСПЛУАТИРУЕМЫХ ОБЪЕКТОВ</w:t>
      </w:r>
    </w:p>
    <w:p w:rsidR="00817E2C" w:rsidRDefault="00817E2C">
      <w:pPr>
        <w:widowControl w:val="0"/>
        <w:spacing w:after="0" w:line="33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2.1 Поражающие факторы средств вооруженной борьбы</w:t>
      </w:r>
    </w:p>
    <w:p w:rsidR="00817E2C" w:rsidRDefault="00B7115B">
      <w:pPr>
        <w:widowControl w:val="0"/>
        <w:spacing w:after="0" w:line="336" w:lineRule="auto"/>
        <w:ind w:firstLine="709"/>
        <w:jc w:val="both"/>
        <w:rPr>
          <w:spacing w:val="-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Прогнозирование последствий применения противником ССП </w:t>
      </w:r>
      <w:bookmarkStart w:id="1" w:name="_Hlk56110648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–</w:t>
      </w:r>
      <w:bookmarkEnd w:id="1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необходимая часть мероприятий защиты. Оценка состояния очага поражения имеет целью: определение состава защищаемых объектов организации, выявление возможных вторичных факторов поражения; объема защитных мероприятий и очередность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br/>
        <w:t>их проведения.</w:t>
      </w:r>
    </w:p>
    <w:p w:rsidR="00817E2C" w:rsidRDefault="00B7115B">
      <w:pPr>
        <w:widowControl w:val="0"/>
        <w:spacing w:after="0" w:line="336" w:lineRule="auto"/>
        <w:ind w:firstLine="709"/>
        <w:jc w:val="both"/>
        <w:rPr>
          <w:spacing w:val="-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В целях прогноза и формирования характеристики очагов поражения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br/>
        <w:t xml:space="preserve">на территории эксплуатируемого объекта рекомендуется использовать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br/>
        <w:t xml:space="preserve">ГОСТ </w:t>
      </w:r>
      <w:proofErr w:type="gramStart"/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42.2.01-2014 «Гражданская оборона. Оценка состояния потенциально опасных объектов, объектов обороны и безопасности в условиях воздействия поражающих факторов обычных средств поражения. Методы расчета», а также Справочник                       по гражданской обороне (изд. «Воениздат» МО СССР, 1978 год, Москва, 384 с.).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прогнозирования следует учитывать типичные для применения ССП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последствия.</w:t>
      </w: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2.2 Характеристика очагов поражения современными средствами </w:t>
      </w:r>
    </w:p>
    <w:p w:rsidR="00817E2C" w:rsidRDefault="00B7115B">
      <w:pPr>
        <w:widowControl w:val="0"/>
        <w:spacing w:after="0" w:line="348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Очаги поражения современными средствами могут характеризоваться сложной инженерной обстановкой, сопровождающейся пожарами, химическим или бактериологическим заражением, радиационным загрязнением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 другими вторичными факторами поражения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В отношении ОПФ основными факторами поражения являются: прямое попадание АБ,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АРТ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стрелковых боеприпасов, ударных БВС (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дронов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коптеров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), ВУВ, осколки ССП, электромагнитный импульс, световое излучение, проникающая радиация и другие факторы поражения. </w:t>
      </w:r>
    </w:p>
    <w:p w:rsidR="00817E2C" w:rsidRDefault="00B7115B">
      <w:pPr>
        <w:widowControl w:val="0"/>
        <w:spacing w:after="0" w:line="348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Разрушения промышленных объектов при внешних воздействиях                           и последствия поражения имеют характерные черты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(наиболее вероятные):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разрушение остекления зданий и сооружений;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обрушение кровли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широкопролётных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строений (цеха, павильоны, здания складов, депо, боксы,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автопаркинги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);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разрушение и складывание лестничных маршей общественных и жилых зданий;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пожары внутри зданий, кровли, задымление помещений и территории; 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пожары топливных парков, элементов систем газоснабжения;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нарушение герметичности емкостей, работающих под давлением                          и резервуаров с ОХВ;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разрушение несущих конструкций и стен строений;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разрушение межэтажных перекрытий административных зданий;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завалы на межцеховых проездах, эстакадах;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аварии на сетях энергоснабжения (теплоснабжения) и коммуникациях;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опасных зон с конструкциями, грозящими обрушением (фрагменты зданий, технологическое оборудование, мостовые переходы, галереи и эстакады);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образование облака пыли (при наличии разрушений высотных зданий);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завалы над ЗС и производственным оборудованием;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опрокидывание вертикальных конструкций (кранов, труб, эстакад, транспортных средств);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повреждения на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объектовых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ГТС;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скрытые повреждения и последствия (разрушение, смещение фундамента капитальных строений, повреждения подземных коммуникаций; неразорвавшиеся боеприпасы).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Здания, сооружения и другие ОПФ могут получить полную, сильную, среднюю или слабую степень разрушения. Территория объекта может характеризоваться большой площадью задымления, заражения опасными химическими и радиоактивными веществами, затоплением (разливом) отходами производства, нефтепродуктами.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обедненным ураном приводит к опасному радиационному загрязнению территории объекта.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сложная обстановка на территории объекта может сложиться             при поражении в ночное время суток, в зимнее время года (в условиях пониженных температур).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применении АБ возможно повреждение подземных коммуникаций, работающих под давлением; разрушение и смещение фундаментов зданий, сооружений и технологического оборудования. Часть разрушений может быть скрытой.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Защитные мероприятия могут значительно снизить ущерб и предотвратить осложнение обстановки.</w:t>
      </w:r>
    </w:p>
    <w:p w:rsidR="00817E2C" w:rsidRDefault="00817E2C">
      <w:pPr>
        <w:widowControl w:val="0"/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СВЕДЕНИЯ ОБ ОБЪЕКТАХ ЗАЩИТЫ</w:t>
      </w:r>
    </w:p>
    <w:p w:rsidR="00817E2C" w:rsidRDefault="00817E2C">
      <w:pPr>
        <w:widowControl w:val="0"/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3.1 Общие подходы к обоснованию и выбору объектов защиты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от современных средств поражения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целями ведения ГО, в интересах выполнения задачи ПУФ организаций, необходимых для выживания населения при военных конфликтах или вследствие этих конфликтов, следует повышать эффективность защиты ОПФ эксплуатируемых объектов.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Организации, владеющие материальными средствами, используемыми               для производства продукции, товаров, выполнения работ или оказания услуг              на правах аренды организуют мероприятия по защите наиболее уязвимых                            в условиях военного конфликта материальных ценностей. Защита арендованных зданий, помещений и сооружений (т.е. вспомогательных средств) может быть осуществлена организацией – арендодателем.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Организации, переносящие производственную деятельность в безопасный район, также могут проводить ИТМ по защите ОПФ эксплуатируемых объектов. Объем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 и степень защиты ОПФ зависят от прогноза возможной обстановки.</w:t>
      </w:r>
    </w:p>
    <w:p w:rsidR="00817E2C" w:rsidRDefault="00B7115B">
      <w:pPr>
        <w:widowControl w:val="0"/>
        <w:spacing w:after="0" w:line="348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Ввиду масштабности задачи в выборе объектов защиты рекомендуется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дифференцированный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подход. Перечень объектов защиты подлежит обоснованию на основе анализа возможных последствий применения ССП. Анализ рекомендуется осуществлять по наиболее вероятному сценарию.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наиболее значимых для функционирования организации ОПФ подлежит физической защите от поражающих факторов ССП.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этой целью объекты защиты классифицируются по соответствующим значимым основаниям.</w:t>
      </w:r>
    </w:p>
    <w:p w:rsidR="00817E2C" w:rsidRDefault="00817E2C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3.2 Особенности подготовки к защите объектов экономики</w:t>
      </w:r>
    </w:p>
    <w:p w:rsidR="00817E2C" w:rsidRDefault="00B7115B">
      <w:pPr>
        <w:widowControl w:val="0"/>
        <w:spacing w:after="0" w:line="348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по защите ОПФ планируются и проводятся в организациях, необходимых для выживания населения при военных конфликтах или вследствие</w:t>
      </w:r>
      <w:r>
        <w:rPr>
          <w:rFonts w:ascii="Times New Roman" w:hAnsi="Times New Roman" w:cs="Times New Roman"/>
          <w:color w:val="000000"/>
          <w:sz w:val="28"/>
        </w:rPr>
        <w:t xml:space="preserve"> этих конфликтов.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организаций устанавливается ФОИВ, ИО СРФ, ОМСУ.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 мероприятий защиты ОПФ увязан с выполнением требований снижения запасов опасных химических веществ,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взрыв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пожароопасных веществ до минимальных объемов, обеспечивающих технологический процесс. Мероприятия по защите ОПФ организаций, эксплуатирующих ОПО, планируются и проводятся независимо от этапа его эксплуатации. Выведенные из эксплуатации ОПО, размещенные на одной производственной площадке с эксплуатируемыми производственными системами и представляющие опасность для персонала организации и населения, также должны быть защищены. </w:t>
      </w:r>
    </w:p>
    <w:p w:rsidR="00817E2C" w:rsidRDefault="00817E2C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3.3 Критерии классификации объектов защиты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Критериями (основаниями) для выбора объектов защиты являются: 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важность (критичность) оборудования в производственном процессе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организации; 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потенциальная опасность оборудования; 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уникальность; 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ремонтопригодность; 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уязвимость по отношению к внешним воздействиям; восстанавливаемость. 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Также, необходимо учитывать степень </w:t>
      </w:r>
      <w:r>
        <w:rPr>
          <w:rFonts w:ascii="Times New Roman" w:hAnsi="Times New Roman" w:cs="Times New Roman"/>
          <w:color w:val="000000"/>
          <w:sz w:val="28"/>
          <w:szCs w:val="28"/>
        </w:rPr>
        <w:t>важности объекта для ЖОН на уровне СРФ и муниципального образования.</w:t>
      </w:r>
    </w:p>
    <w:p w:rsidR="00817E2C" w:rsidRDefault="00B7115B">
      <w:pPr>
        <w:widowControl w:val="0"/>
        <w:spacing w:after="0" w:line="362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Учитывается </w:t>
      </w:r>
      <w:r>
        <w:rPr>
          <w:rFonts w:ascii="Times New Roman" w:eastAsia="Times New Roman" w:hAnsi="Times New Roman" w:cs="Times New Roman"/>
          <w:bCs/>
          <w:color w:val="000000"/>
          <w:spacing w:val="-6"/>
          <w:kern w:val="2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арактеристика объекта для целей прогноза и планирования действий сил ГО организации и привлекаемых сил территориальной группировки ГО: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плотность застройки (нормативно установлена для отраслей экономики);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высотность (вертикальная планировка, этажность);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количество функционирующих ОПО и места их размещения; 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наличие сооружений с горючим покрытием кровли; 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наличие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незаваливаемых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проездов; 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наличие двусторонних проездов; 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обвалованные хранилища ЛВЖ и их состояние;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перепады высот производственных площадок;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наличие железнодорожных и автомобильных подъездных путей, пристаней; 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заводские трубы и градирни; фидерные и ЛЭП;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пожарное водоснабжение и пожарные водоемы; 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количество въездов (выездов) на территорию;</w:t>
      </w:r>
    </w:p>
    <w:p w:rsidR="00817E2C" w:rsidRDefault="00B7115B">
      <w:pPr>
        <w:widowControl w:val="0"/>
        <w:spacing w:after="0" w:line="362" w:lineRule="auto"/>
        <w:ind w:firstLine="709"/>
        <w:jc w:val="both"/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неразрушаемые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ориентиры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(ГТС, пруды, железнодорожные пути, трубы, мачты, перекрестки и т. д.);</w:t>
      </w:r>
    </w:p>
    <w:p w:rsidR="00817E2C" w:rsidRDefault="00B7115B">
      <w:pPr>
        <w:widowControl w:val="0"/>
        <w:spacing w:after="0" w:line="362" w:lineRule="auto"/>
        <w:ind w:firstLine="709"/>
        <w:jc w:val="both"/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еста размещения ЗСГО (отдельно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стоящих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встроенных);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производства (участки непрерывных производств);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пожарные депо и прочее.</w:t>
      </w:r>
    </w:p>
    <w:p w:rsidR="00817E2C" w:rsidRDefault="00817E2C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3.4 Особенности поражения основных производственных фондов объектов защиты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Наиболее устойчивы к внешним воздействиям: заглубленные установки, конструкции и коммуникации; заводские трубы и колонны; причалы, пирсы,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ГТС 1-2 класса, ВПП, эстакады, железобетонные сооружения антисейсмической конструкции, сооружения из железобетонных элементов, несущие конструкции внутрицеховых мостовых кранов, кузнечно-прессовое оборудование.</w:t>
      </w: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отношении ВУВ и иных поражающих факторов ОМП характеристика дана в Справочнике по гражданской обороне (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изд. «Воениздат» МО СССР, 1978 год, Москва, 384 с.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</w:p>
    <w:p w:rsidR="00817E2C" w:rsidRDefault="00B7115B">
      <w:pPr>
        <w:widowControl w:val="0"/>
        <w:spacing w:after="0" w:line="338" w:lineRule="auto"/>
        <w:ind w:firstLine="709"/>
        <w:jc w:val="both"/>
        <w:rPr>
          <w:spacing w:val="-6"/>
        </w:rPr>
      </w:pPr>
      <w:r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Наименее устойчивы к внешним воздействиям: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 xml:space="preserve">кровля производственных сооружений, плиты перекрытия пустотелые из бетона, резервуарные парки топлива, ЛВЖ, ОХВ, коммуникации и установки, работающие под давлением, остекление 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br/>
        <w:t>и легкие стеновые панели зданий, ГВЦ объектов, вычислительные коммуникации, станки с ЧПУ, здания размещения пожарных депо.</w:t>
      </w: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Особенностью поражения ОПФ организаций является уязвимость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при применении ВТО, ударных БАС и возможность последовательного удара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по одному объекту.</w:t>
      </w:r>
    </w:p>
    <w:p w:rsidR="00817E2C" w:rsidRDefault="00817E2C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3.5 Классификация и ранжирование объектов защиты</w:t>
      </w:r>
    </w:p>
    <w:p w:rsidR="00817E2C" w:rsidRDefault="00B7115B">
      <w:pPr>
        <w:widowControl w:val="0"/>
        <w:spacing w:after="0" w:line="338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 и последующее ранжирование подлежащих защите ОПФ эксплуатируемых объектов организациями, необходимых для выживания населения при военных конфликтах, осуществляется в целях наиболее эффективного распределения средств и обеспечения соответствия степени защиты уровню прогнозируемой угрозы.</w:t>
      </w: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Подлежат защите:</w:t>
      </w: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здания и сооружения основных производств;</w:t>
      </w: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резервуарные парки нефтепродуктов и топлива;</w:t>
      </w:r>
    </w:p>
    <w:p w:rsidR="00817E2C" w:rsidRDefault="00B7115B">
      <w:pPr>
        <w:widowControl w:val="0"/>
        <w:spacing w:after="0" w:line="338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емкости, содержащие опасные ХВ и (или) опасные биологические вещества;</w:t>
      </w: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газгольдеры сжиженных углеводородных газов;</w:t>
      </w: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технологические трубопроводы действующих произво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с 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авлением более 0,07 Мпа;</w:t>
      </w: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емкости с перегретыми жидкостями;</w:t>
      </w: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станочное оборудование разных классов;</w:t>
      </w: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внешний и внутрицеховой транспорт;</w:t>
      </w: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ГВЦ, средства АСУП;</w:t>
      </w: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пункты управления.</w:t>
      </w: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обеспечения устойчивого функционирования объекты защиты ранжируются по степени важности и степени опасности (для ОПО).</w:t>
      </w:r>
    </w:p>
    <w:p w:rsidR="00817E2C" w:rsidRDefault="00B7115B">
      <w:pPr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3.6 Рекомендации по выбору технологического оборудования, подлежащего защите от поражающих факторов внешних воздействий</w:t>
      </w:r>
    </w:p>
    <w:p w:rsidR="00817E2C" w:rsidRDefault="00B7115B">
      <w:pPr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 технологического оборудования, подлежащего защите от воздействия поражающих факторов ССП, рекомендуется производить методом отбора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основе оценки роли и значения каждой единицы оборудования, задействованного в производственном процессе или деятельности организации,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строя которого повлечет нарушение производственного процесса. </w:t>
      </w:r>
    </w:p>
    <w:p w:rsidR="00817E2C" w:rsidRDefault="00B7115B">
      <w:pPr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такому оборудованию относятся:</w:t>
      </w:r>
    </w:p>
    <w:p w:rsidR="00817E2C" w:rsidRDefault="00B7115B">
      <w:pPr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уникальное оборудование, обрабатывающее наиболее крупные детали                  или выполняющее операции, которые не могут выполняться на другом оборудовании;</w:t>
      </w:r>
    </w:p>
    <w:p w:rsidR="00817E2C" w:rsidRDefault="00B7115B">
      <w:pPr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специализированное оборудование, передача изделий с которого на другое оборудование потребует значительных затрат на изготовление оснастки, увеличит трудоемкость обработки, может привести к недопустимому снижению качества изделий или вынужденному длительному простою;</w:t>
      </w:r>
    </w:p>
    <w:p w:rsidR="00817E2C" w:rsidRDefault="00B7115B">
      <w:pPr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 ценное оборудование, лимитирующее определенный вид производства ввиду полной его загрузки;</w:t>
      </w:r>
    </w:p>
    <w:p w:rsidR="00817E2C" w:rsidRDefault="00B7115B">
      <w:pPr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гибкие автоматизированные производственные модули и системы, оснащенные электронным оборудованием;</w:t>
      </w:r>
    </w:p>
    <w:p w:rsidR="00817E2C" w:rsidRDefault="00B7115B">
      <w:pPr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автоматические и полуавтоматические станочные, кузнечно-прессовые                       и литейные линии;</w:t>
      </w:r>
    </w:p>
    <w:p w:rsidR="00817E2C" w:rsidRDefault="00B7115B">
      <w:pPr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роторные и роторно-конвейерные линии;</w:t>
      </w:r>
    </w:p>
    <w:p w:rsidR="00817E2C" w:rsidRDefault="00B7115B">
      <w:pPr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технологическое оборудование опасных производств и системы обеспечения безопасности (в т. ч. системы противопожарной безопасности);</w:t>
      </w:r>
    </w:p>
    <w:p w:rsidR="00817E2C" w:rsidRDefault="00B7115B">
      <w:pPr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технологическое оборудование, обеспечивающее непрерывный производственный процесс;</w:t>
      </w:r>
    </w:p>
    <w:p w:rsidR="00817E2C" w:rsidRDefault="00B7115B">
      <w:pPr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подъемно-транспортное оборудование основного производства, складского хозяйства;</w:t>
      </w:r>
    </w:p>
    <w:p w:rsidR="00817E2C" w:rsidRDefault="00B7115B">
      <w:pPr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ГВЦ и АСУП.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Защите подлежит оборудование с ЧПУ, станки многоцелевого назначения,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также входящие в поточные линии, остановка каждого из которых нарушит работу всей линии более чем на 8 часов (смену).</w:t>
      </w:r>
    </w:p>
    <w:p w:rsidR="00817E2C" w:rsidRDefault="00B7115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пищевом производстве подлежат защите манипуляторы, выполняющие передачу, съем и другие операции при обработке продуктов и полуфабрикатов,             а также пульты и шкафы управления, узлы гидросистем, электрооборудование, насосные станции, системы смазки и т. п.</w:t>
      </w:r>
    </w:p>
    <w:p w:rsidR="00817E2C" w:rsidRDefault="00B7115B">
      <w:pPr>
        <w:tabs>
          <w:tab w:val="left" w:pos="0"/>
        </w:tabs>
        <w:spacing w:after="0" w:line="336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металлорежущему оборудованию градообразующих предприятий первоочередной защите подлежат отдельные модели отечественного и импортного оборудования, которые не могут быть заменены имеющимися на предприятии иными техническими средствами. Градообразующие предприятия, обеспечивающие работу систем, необходимых для выживания населения, защищают ОПФ этих систем в пределах своей территории.</w:t>
      </w:r>
    </w:p>
    <w:p w:rsidR="00817E2C" w:rsidRDefault="00B7115B">
      <w:pPr>
        <w:tabs>
          <w:tab w:val="left" w:pos="0"/>
        </w:tabs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объектах теплоснабжения предусматривается защита шкафов и пультов управления, приводов и механизмов загрузки и выгрузки, механизмов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пневмосистем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электросистем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приводов топливоподачи, коммуникации теплоснабжения на открытых участках, тепловые пункты (в период зимнего отопительного сезона). Защищаются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КИПиА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систем, работающих под давлением.  </w:t>
      </w:r>
    </w:p>
    <w:p w:rsidR="00817E2C" w:rsidRDefault="00B7115B">
      <w:pPr>
        <w:tabs>
          <w:tab w:val="left" w:pos="0"/>
        </w:tabs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 защищать машинные залы теплоэлектроцентралей, трансформаторные подстанции и резервуарные парки резервного топлива.</w:t>
      </w:r>
    </w:p>
    <w:p w:rsidR="00817E2C" w:rsidRDefault="00B7115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насосных станциях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водоснабжения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 предусматривать защиту основного оборудования, элементов его электроснабжения,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КИПиА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элементов системы мониторинга инженерных сооружений.</w:t>
      </w:r>
    </w:p>
    <w:p w:rsidR="00817E2C" w:rsidRDefault="00B7115B">
      <w:pPr>
        <w:tabs>
          <w:tab w:val="left" w:pos="0"/>
        </w:tabs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городских поселениях рекомендуется защищать ГРП и ГРС,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ЖОН.  </w:t>
      </w:r>
    </w:p>
    <w:p w:rsidR="00817E2C" w:rsidRDefault="00B7115B">
      <w:pPr>
        <w:tabs>
          <w:tab w:val="left" w:pos="0"/>
        </w:tabs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наиболее уязвимым узлам и деталям поточных, механизированных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автоматических линий (помимо основных обрабатывающих узлов и блоков) относятся: пульты управления, шкафы с электронным и электрическим оборудованием и приборами, датчиками системы автоматизации, гидростанции, транспортные системы, а также гидравлические, электрические и воздушные магистрали.</w:t>
      </w:r>
    </w:p>
    <w:p w:rsidR="00817E2C" w:rsidRDefault="00B7115B">
      <w:pPr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Из цехового подъемно-транспортного оборудования рекомендуется защищать механизмы подъема и передвижения мостовых кранов различного назначения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br/>
        <w:t>и в первую очередь наибольшей грузоподъемности. При разрушениях цеха восстановленные мостовые краны должны использоваться для разборки завалов внутрицеховых участков. На складских погрузочно-разгрузочных площадках защищаются механизмы подъема и передвижения козловых кранов.</w:t>
      </w:r>
    </w:p>
    <w:p w:rsidR="00817E2C" w:rsidRDefault="00B7115B">
      <w:pPr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Защите не подлежит устаревшее оборудование (за исключением опасных производств), а также оборудование, замена, остановка либо восстановление которого не создает проблем для основного производства.</w:t>
      </w:r>
    </w:p>
    <w:p w:rsidR="00817E2C" w:rsidRDefault="00B7115B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Амортизационные сроки эксплуатации оборудования не влияют на выбор степени защиты ОПФ.</w:t>
      </w:r>
    </w:p>
    <w:p w:rsidR="00817E2C" w:rsidRDefault="00817E2C">
      <w:pPr>
        <w:widowControl w:val="0"/>
        <w:spacing w:after="0" w:line="372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72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СРЕДСТВА ЗАЩИТЫ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ОСНОВНЫХ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ПРОИЗВОДСТВЕННЫХ </w:t>
      </w:r>
    </w:p>
    <w:p w:rsidR="00817E2C" w:rsidRDefault="00B7115B">
      <w:pPr>
        <w:widowControl w:val="0"/>
        <w:spacing w:after="0" w:line="372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ФОНДОВ ОРГАНИЗАЦИЙ. ОБЩИЕ СВЕДЕНИЯ</w:t>
      </w:r>
    </w:p>
    <w:p w:rsidR="00817E2C" w:rsidRDefault="00817E2C">
      <w:pPr>
        <w:widowControl w:val="0"/>
        <w:spacing w:after="0" w:line="372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системе мероприятий ГО приняты различные средства защиты ОПФ, методы и способы их использования. Эти средства имеют широкий спектр характеристик, определяющих обоснованность их применения.</w:t>
      </w:r>
    </w:p>
    <w:p w:rsidR="00817E2C" w:rsidRDefault="00B7115B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Средства защиты ОПФ организаций – инженерные конструкции, технические средства, предназначенные либо приспосабливаемые (используемые) для физической защиты ОПФ эксплуатируемых организацией от поражающих факторов ССП, а также от последствий поражения ими. </w:t>
      </w:r>
    </w:p>
    <w:p w:rsidR="00817E2C" w:rsidRDefault="00B7115B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защиты ОПФ могут быть серийными, специально производимыми, изготавливаемыми (проектируемыми и изготавливаемыми) самой организацией или созданными из широко распространенных конструкций и материалов, используемых в других целях.</w:t>
      </w:r>
    </w:p>
    <w:p w:rsidR="00817E2C" w:rsidRDefault="00B7115B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средств защиты может меняться в зависимости от времени года                    и климатических условий.</w:t>
      </w:r>
    </w:p>
    <w:p w:rsidR="00817E2C" w:rsidRDefault="00817E2C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средств защиты (инженерных конструкций, технических средств              и т.п.) осуществляется организациями самостоятельно с учетом их классификации и классификационных признаков, установленных настоящими рекомендациями.</w:t>
      </w:r>
    </w:p>
    <w:p w:rsidR="00817E2C" w:rsidRDefault="00817E2C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4.1 Классификационные признаки средств защиты основных производственных фондов организаций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Классификационными признаками средств защиты ОПФ, необходимыми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планирования мероприятий ГО по защите материальных ценностей, рекомендуется принимать: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капитальность защитных средств и конструкций;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конструкции;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исполнения;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защиты.</w:t>
      </w:r>
    </w:p>
    <w:p w:rsidR="00817E2C" w:rsidRDefault="00817E2C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4.2 Классификация средств защиты основных производственных фондов организаций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капитальности средства защиты классифицируют как капитальные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некапитальные (временные,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быстровозводимые или модульные ЗС). Капитальность средств защиты (защитных конструкций) предполагает прочное соединение с основанием (фундаментом).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4.2.2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типу конструкции: сборно-разборные, неразборные, каркасные, бескаркасные, простейшие.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4.2.3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назначению средства защиты ОПФ подразделяют на: защитные             от прямого попадания стрелковых боеприпасов, защитные от ВУВ, защитные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от воздействия ударных БАС (отдельных БВС,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универсальные, противопожарные, защитные от обрушения защищаемых конструкций (средства усиления ограждающих конструкций от прогрессирующего разрушения), защитные от элементов обрушающихся конструкций, защитные от наблюдения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ведения прицельного огня.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4.2.4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исполнению средства защиты классифицируются на: уникальные, специальные, серийно выпускаемые (стандартные), приспосабливаемые в целях защиты промышленные изделия, транспорт, тара и прочее, конструкции                             из подручных материалов (простейшие).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spacing w:val="-1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4.2.5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По классу защиты от СО – в соответствии с принятыми государственными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br/>
        <w:t>стандартами защиты (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ГОСТ 30826-2014, </w:t>
      </w:r>
      <w:r>
        <w:rPr>
          <w:rFonts w:ascii="Times New Roman" w:hAnsi="Times New Roman" w:cs="Times New Roman"/>
          <w:color w:val="000000"/>
          <w:spacing w:val="-6"/>
          <w:sz w:val="28"/>
        </w:rPr>
        <w:t xml:space="preserve">ГОСТ 32566-2013, </w:t>
      </w:r>
      <w:r>
        <w:rPr>
          <w:rFonts w:ascii="Times New Roman" w:hAnsi="Times New Roman" w:cs="Times New Roman"/>
          <w:bCs/>
          <w:color w:val="000000"/>
          <w:spacing w:val="-6"/>
          <w:sz w:val="28"/>
          <w:szCs w:val="27"/>
        </w:rPr>
        <w:t>ГОСТ 34286</w:t>
      </w:r>
      <w:r>
        <w:rPr>
          <w:rFonts w:ascii="Times New Roman" w:hAnsi="Times New Roman" w:cs="Times New Roman"/>
          <w:color w:val="000000"/>
          <w:spacing w:val="-6"/>
          <w:sz w:val="28"/>
          <w:szCs w:val="27"/>
        </w:rPr>
        <w:t>-</w:t>
      </w:r>
      <w:r>
        <w:rPr>
          <w:rFonts w:ascii="Times New Roman" w:hAnsi="Times New Roman" w:cs="Times New Roman"/>
          <w:bCs/>
          <w:color w:val="000000"/>
          <w:spacing w:val="-6"/>
          <w:sz w:val="28"/>
          <w:szCs w:val="27"/>
        </w:rPr>
        <w:t xml:space="preserve">2017, </w:t>
      </w:r>
      <w:r>
        <w:rPr>
          <w:rFonts w:ascii="Times New Roman" w:hAnsi="Times New Roman" w:cs="Times New Roman"/>
          <w:bCs/>
          <w:color w:val="000000"/>
          <w:spacing w:val="-6"/>
          <w:sz w:val="28"/>
          <w:szCs w:val="27"/>
        </w:rPr>
        <w:br/>
      </w:r>
      <w:r>
        <w:rPr>
          <w:rFonts w:ascii="Times New Roman" w:hAnsi="Times New Roman" w:cs="Times New Roman"/>
          <w:color w:val="000000"/>
          <w:spacing w:val="-6"/>
          <w:sz w:val="28"/>
        </w:rPr>
        <w:t xml:space="preserve">ГОСТ </w:t>
      </w:r>
      <w:proofErr w:type="gramStart"/>
      <w:r>
        <w:rPr>
          <w:rFonts w:ascii="Times New Roman" w:hAnsi="Times New Roman" w:cs="Times New Roman"/>
          <w:color w:val="000000"/>
          <w:spacing w:val="-6"/>
          <w:sz w:val="28"/>
        </w:rPr>
        <w:t>Р</w:t>
      </w:r>
      <w:proofErr w:type="gramEnd"/>
      <w:r>
        <w:rPr>
          <w:rFonts w:ascii="Times New Roman" w:hAnsi="Times New Roman" w:cs="Times New Roman"/>
          <w:color w:val="000000"/>
          <w:spacing w:val="-6"/>
          <w:sz w:val="28"/>
        </w:rPr>
        <w:t xml:space="preserve"> 51112-97 и др.).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4.2.6 Рекомендуемые требования к выбираемым средствам защиты ОПФ.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 предусматривать пассивные средства физической защиты, имеющие характеристики: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достаточной эффективности защиты;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обоснованной стоимости;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простоты установки (разборки) и применения, не требующие дополнительной квалификации персонала.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 требование к защитным конструкциям ОПФ – эффективная защита от внешних воздействий поражающих факторов ССП.</w:t>
      </w:r>
    </w:p>
    <w:p w:rsidR="00817E2C" w:rsidRDefault="00B7115B">
      <w:pPr>
        <w:widowControl w:val="0"/>
        <w:spacing w:after="0" w:line="362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Обязательными общими требованиями к защитным конструкциям ОПФ являются требования обеспечения безопасности: пожаробезопасность,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электробезопасность,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травмобезопасность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Применяемые средства защиты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должны формировать «осколочную массу» при поражении.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Применяемые средства должны быть простыми в изготовлении, выполняться из негорючих материалов. Средства защиты не должны существенно осложнять производственный процесс, а также не должны являться помехой при ведении АСДНР после применения ССП.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защиты и технологии защиты не должны предполагать наличие особых навыков и компетенций у исполнителей.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Минимальная рекомендуемая степень защиты – защита от СО, осколков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ВУВ (с избыточным давлением во фронте 10 кПа для ЯО и 17 кПа для неядерных средств поражения).</w:t>
      </w:r>
    </w:p>
    <w:p w:rsidR="00817E2C" w:rsidRDefault="00B7115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ВЫБОР СТЕПЕНИ ЗАЩИТЫ ОСНОВНЫХ ПРОИЗВОДСТВЕННЫХ ФОНДОВ ОРГАНИЗАЦИЙ</w:t>
      </w:r>
    </w:p>
    <w:p w:rsidR="00817E2C" w:rsidRDefault="00817E2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5.1 Степень защиты основных производственных фондов организаций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и показатели приоритетов защит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Степень защиты ОПФ организаций рекомендуется выбирать, исходя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соотношений, представленных в таблице 2 характеристик эксплуатируемого оборудования, зданий и сооружений по 10-ти балльной шкале приоритетов.</w:t>
      </w:r>
    </w:p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B711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2. Показатели бальной оценки приоритетов защиты ОПФ организаций, необходимых для выживания населения</w:t>
      </w:r>
    </w:p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781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8084"/>
        <w:gridCol w:w="1697"/>
      </w:tblGrid>
      <w:tr w:rsidR="00817E2C">
        <w:trPr>
          <w:trHeight w:val="351"/>
          <w:tblHeader/>
        </w:trPr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ОПФ организации и их признаки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817E2C">
        <w:trPr>
          <w:trHeight w:val="285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 ОПО:</w:t>
            </w:r>
          </w:p>
        </w:tc>
      </w:tr>
      <w:tr w:rsidR="00817E2C">
        <w:trPr>
          <w:trHeight w:val="270"/>
        </w:trPr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ind w:firstLine="204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1-го класса опасности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ind w:firstLine="204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2-го класса опасности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ind w:firstLine="204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3-го класса опасности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ind w:firstLine="204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4-го класса опасности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Уникальное оборудование в единственном экземпляре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Критичное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производства (особо ценное)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Критичное для ЖОН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Неустойчивое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внешним воздействиям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возможностью восстановления своими силами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Возможностью восстановления ремонтными организациями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ind w:firstLine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демонтажем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ind w:firstLine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без демонтажа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Оборудование, расположенное внутри цеха (внутри помещения)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Цех (здание, капитальное строение) с большой площадью остекления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Цех со стационарным крановым оборудованием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E2C">
        <w:trPr>
          <w:trHeight w:val="540"/>
        </w:trPr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Строение с пролетными конструкциями более 30 метров и или консолью более 15 метров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17E2C">
        <w:trPr>
          <w:trHeight w:val="300"/>
        </w:trPr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Оборудование, расположенное на открытой площадке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17E2C">
        <w:trPr>
          <w:trHeight w:val="270"/>
        </w:trPr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Заглубленное оборудование (ниже нулевой отметки)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- 2</w:t>
            </w:r>
          </w:p>
        </w:tc>
      </w:tr>
      <w:tr w:rsidR="00817E2C">
        <w:trPr>
          <w:trHeight w:val="267"/>
        </w:trPr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Специализированное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E2C">
        <w:trPr>
          <w:trHeight w:val="355"/>
        </w:trPr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Автоматизированные производственные модули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Технологическое оборудование, обеспечивающее непрерывный производственный процесс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Подъемно ˗ транспортное оборудование основного производства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ГВЦ и АСУП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17E2C"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 с ЧПУ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817E2C" w:rsidRDefault="00817E2C">
      <w:pPr>
        <w:widowControl w:val="0"/>
        <w:spacing w:after="0" w:line="338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Оценке подвергаются действующие продуктопроводы и сети. Соответствующие баллы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представлены в таблице 3.</w:t>
      </w:r>
    </w:p>
    <w:p w:rsidR="00817E2C" w:rsidRDefault="00817E2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B711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3. Показатели бальной оценки приоритетов защиты продуктопроводов и сетей</w:t>
      </w:r>
    </w:p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781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4677"/>
        <w:gridCol w:w="5104"/>
      </w:tblGrid>
      <w:tr w:rsidR="00817E2C">
        <w:trPr>
          <w:trHeight w:val="459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Характер расположения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817E2C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Подземные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17E2C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Наземные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817E2C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эстакадах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817E2C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местах пересечения коммуникаций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</w:tc>
      </w:tr>
      <w:tr w:rsidR="00817E2C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местах ввода в здания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</w:tr>
    </w:tbl>
    <w:p w:rsidR="00817E2C" w:rsidRDefault="00817E2C">
      <w:pPr>
        <w:widowControl w:val="0"/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важны к защите места вводов в производственные здания, помещения ГВЦ и систем АСУП, места пересечения коммуникаций.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Оборудование, размещенное на первых этажах зданий, выполненных                   в соответствии с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 385.1325800.2018 «Защита зданий и сооружений                            от прогрессирующего обрушения» и (или)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</w:t>
      </w:r>
      <w:hyperlink r:id="rId14" w:tgtFrame="_blank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СП 296.1325800.2017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«Здания и сооружения. Особые воздействия», так как в этом случае выполнены требования по учету особых нагрузок и воздействий при проектировании зданий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сооружений классов КС-2 и КС-3 нормального и повышенного уровней ответственности по предельным состояниям, а также требования по обеспечению надежности строительных конструкций и оснований при аварийных ситуациях природного, техногенного и антропогенного характера.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Максимальная степень и первоочередность защиты ОПФ, используемых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производства продукции, товаров и услуг в целях выживания населения, определяется сложением баллов и соответствует имеющим наибольший состав признаков.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Максимальную степень защиты рекомендуется предусматривать                       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эксплуатируемых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ОПО 1 класса опасности, уникального, критичного, неустойчивого к внешним воздействиям, неремонтопригодного оборудования, расположенного на открытой площадке.</w:t>
      </w:r>
    </w:p>
    <w:p w:rsidR="00817E2C" w:rsidRDefault="00B7115B">
      <w:pPr>
        <w:widowControl w:val="0"/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суммы баллов выбираются средства и степень защиты               в соответствии с таблицей 4.</w:t>
      </w:r>
    </w:p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B711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4. Выбор соответствия степени защиты по сумме баллов приоритетов защиты ОПФ эксплуатируемых объектов</w:t>
      </w:r>
    </w:p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18" w:type="dxa"/>
        <w:jc w:val="center"/>
        <w:tblLayout w:type="fixed"/>
        <w:tblLook w:val="0000" w:firstRow="0" w:lastRow="0" w:firstColumn="0" w:lastColumn="0" w:noHBand="0" w:noVBand="0"/>
      </w:tblPr>
      <w:tblGrid>
        <w:gridCol w:w="4247"/>
        <w:gridCol w:w="5671"/>
      </w:tblGrid>
      <w:tr w:rsidR="00817E2C">
        <w:trPr>
          <w:trHeight w:val="422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Сумма баллов приоритета защиты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Рекомендуемая степень защиты</w:t>
            </w:r>
          </w:p>
        </w:tc>
      </w:tr>
      <w:tr w:rsidR="00817E2C">
        <w:trPr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более 20 баллов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максимальная степень защиты ОПФ*</w:t>
            </w:r>
          </w:p>
        </w:tc>
      </w:tr>
      <w:tr w:rsidR="00817E2C">
        <w:trPr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˗ 20 баллов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значительная</w:t>
            </w:r>
          </w:p>
        </w:tc>
      </w:tr>
      <w:tr w:rsidR="00817E2C">
        <w:trPr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˗ 10 баллов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достаточная степень</w:t>
            </w:r>
          </w:p>
        </w:tc>
      </w:tr>
      <w:tr w:rsidR="00817E2C">
        <w:trPr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1- 4 балла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умеренная минимальная</w:t>
            </w:r>
          </w:p>
        </w:tc>
      </w:tr>
    </w:tbl>
    <w:p w:rsidR="00817E2C" w:rsidRDefault="00B7115B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*Защита материальных ценностей организации от прямого попадания АБ,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(более 100 мм) или ракетного боеприпаса силами действующего предприятия не планируется. </w:t>
      </w:r>
    </w:p>
    <w:p w:rsidR="00817E2C" w:rsidRDefault="00817E2C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5.2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Характеристики принимаемых степеней защиты основных производственных фондов организаций и соответствующие им рекомендуемые средства защиты</w:t>
      </w:r>
    </w:p>
    <w:p w:rsidR="00817E2C" w:rsidRDefault="00B7115B">
      <w:pPr>
        <w:widowControl w:val="0"/>
        <w:spacing w:after="0" w:line="372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Максимальная степень защиты ОПФ объектов экономики – защита от ВУВ АБ и осколков АБ,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ударной БАС и ракетного боеприпаса с действующим избыточным давлением во фронте ВУВ 10 кПа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(нет прямого попадания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защищаемому объекту).</w:t>
      </w:r>
    </w:p>
    <w:p w:rsidR="00817E2C" w:rsidRDefault="00B7115B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от РСЗО, ударного БВС самолетного типа и ствольной артиллерии калибра более 100 мм и вторичных факторов их применения.</w:t>
      </w:r>
    </w:p>
    <w:p w:rsidR="00817E2C" w:rsidRDefault="00B7115B">
      <w:pPr>
        <w:widowControl w:val="0"/>
        <w:spacing w:after="0" w:line="372" w:lineRule="auto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от 100 мм артиллерии, крупнокалиберного минометного вооружения (более 82 мм), ударного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от тактического СО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последствий их применения.</w:t>
      </w:r>
    </w:p>
    <w:p w:rsidR="00817E2C" w:rsidRDefault="00B7115B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Умеренная степень защиты – от спорадического огня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, легких самодельных боевых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квадрокоптеров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(изготовляемых на базе БВС гражданского назначения).</w:t>
      </w:r>
    </w:p>
    <w:p w:rsidR="00817E2C" w:rsidRDefault="00B7115B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 5 представлены типовые защитные конструкции для ОПФ промышленных объектов.</w:t>
      </w:r>
    </w:p>
    <w:p w:rsidR="00817E2C" w:rsidRDefault="00817E2C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7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5. Защитные конструкции для ОПФ промышленных объектов</w:t>
      </w:r>
    </w:p>
    <w:p w:rsidR="00817E2C" w:rsidRDefault="00817E2C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867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2057"/>
        <w:gridCol w:w="525"/>
        <w:gridCol w:w="603"/>
        <w:gridCol w:w="530"/>
        <w:gridCol w:w="526"/>
        <w:gridCol w:w="493"/>
        <w:gridCol w:w="1006"/>
        <w:gridCol w:w="711"/>
        <w:gridCol w:w="1176"/>
        <w:gridCol w:w="1121"/>
        <w:gridCol w:w="1119"/>
      </w:tblGrid>
      <w:tr w:rsidR="00817E2C">
        <w:trPr>
          <w:tblHeader/>
        </w:trPr>
        <w:tc>
          <w:tcPr>
            <w:tcW w:w="98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Защитные средства и конструкции для ОПФ </w:t>
            </w:r>
          </w:p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промышленных объектов</w:t>
            </w:r>
          </w:p>
        </w:tc>
      </w:tr>
      <w:tr w:rsidR="00817E2C">
        <w:trPr>
          <w:tblHeader/>
        </w:trPr>
        <w:tc>
          <w:tcPr>
            <w:tcW w:w="57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 прямых внешних воздействий</w:t>
            </w:r>
          </w:p>
        </w:tc>
        <w:tc>
          <w:tcPr>
            <w:tcW w:w="4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От вторичных факторов </w:t>
            </w:r>
          </w:p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поражения</w:t>
            </w:r>
          </w:p>
        </w:tc>
      </w:tr>
      <w:tr w:rsidR="00817E2C">
        <w:trPr>
          <w:tblHeader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Средства защиты и приспосабливаемые конструкции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108" w:right="-13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АРТ</w:t>
            </w:r>
            <w:proofErr w:type="gram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АБ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69" w:right="-54" w:firstLine="69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ЯО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162" w:right="-139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БАС, БВС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дроны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коптеры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107" w:right="-97" w:hanging="2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пожар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ind w:right="-167" w:hanging="149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обрушение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49" w:right="-39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заражение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136" w:right="-97" w:firstLine="45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затопление</w:t>
            </w:r>
          </w:p>
        </w:tc>
      </w:tr>
      <w:tr w:rsidR="00817E2C">
        <w:trPr>
          <w:tblHeader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108" w:right="-13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69" w:right="-54" w:firstLine="69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162" w:right="-139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107" w:right="-97" w:hanging="2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ind w:right="-167" w:hanging="149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49" w:right="-39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136" w:right="-97" w:firstLine="45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817E2C">
        <w:trPr>
          <w:trHeight w:val="465"/>
        </w:trPr>
        <w:tc>
          <w:tcPr>
            <w:tcW w:w="98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Простейшие</w:t>
            </w: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Мешки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грунтозаполненные</w:t>
            </w:r>
            <w:proofErr w:type="spellEnd"/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Бочки металлические заполненные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Щиты бревенчатые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Габионы строительные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Маты сетчатые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Трубы металлические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Покрышки колесные заполненные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Растяжки проволочные тросовые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Ящики металлические заполненные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Насыпь грунтовая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Экран сетчатый металлический (сетка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раме)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17E2C">
        <w:trPr>
          <w:trHeight w:val="389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Сеть нейлоновая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17E2C">
        <w:trPr>
          <w:trHeight w:val="551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80" w:right="-108"/>
              <w:contextualSpacing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Приспосабливаемые в целях защиты:</w:t>
            </w:r>
          </w:p>
        </w:tc>
        <w:tc>
          <w:tcPr>
            <w:tcW w:w="78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Блоки бетонные строительные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ind w:right="-8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Грузовой вагон груженый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>(саморазгружающийся)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Автомобиль грузовой загруженный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Автоприцеп загруженный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Контейнер 20 и 40 футовый транспортный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Железнодорожные цистерны водонаполненные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Плиты монолитные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Опалубка металлическая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мелкощитовая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для стен и колонн с наполнением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Стойки – домкраты строительные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Опалубка легкая модульная пластиковая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мелкощитовая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для стен и колонн с наполнением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Пленка ПВХ армированная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rPr>
          <w:trHeight w:val="433"/>
        </w:trPr>
        <w:tc>
          <w:tcPr>
            <w:tcW w:w="98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Специально разрабатываемые</w:t>
            </w: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Габионы фортификационные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Водоналивные  конструкции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spacing w:val="-1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>Персональные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 xml:space="preserve"> ЗС для операторов непрерывных производств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1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12"/>
                <w:sz w:val="20"/>
                <w:szCs w:val="20"/>
              </w:rPr>
              <w:t>Блоки композитные российского производства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Контейнеры для станков защитные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Вантовые устройства противообвальные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Противообвальные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пластичные элементы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Контейнер 20-ти футовый проходной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Конструкции металлические рамные сварные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rPr>
          <w:trHeight w:val="619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17E2C" w:rsidRDefault="00B7115B">
            <w:pPr>
              <w:widowControl w:val="0"/>
              <w:spacing w:after="0" w:line="240" w:lineRule="auto"/>
              <w:ind w:right="-122" w:hanging="54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4"/>
                <w:sz w:val="20"/>
                <w:szCs w:val="20"/>
              </w:rPr>
              <w:t>Технические средства</w:t>
            </w:r>
          </w:p>
          <w:p w:rsidR="00817E2C" w:rsidRDefault="00B7115B">
            <w:pPr>
              <w:widowControl w:val="0"/>
              <w:spacing w:after="0" w:line="240" w:lineRule="auto"/>
              <w:ind w:right="-122" w:hanging="96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4"/>
                <w:sz w:val="20"/>
                <w:szCs w:val="20"/>
              </w:rPr>
              <w:t xml:space="preserve"> борьбы 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БАС, БВС</w:t>
            </w:r>
            <w:r>
              <w:rPr>
                <w:rFonts w:ascii="Times New Roman" w:hAnsi="Times New Roman" w:cs="Times New Roman"/>
                <w:b/>
                <w:color w:val="000000"/>
                <w:spacing w:val="-4"/>
                <w:sz w:val="20"/>
                <w:szCs w:val="20"/>
              </w:rPr>
              <w:t>:</w:t>
            </w:r>
          </w:p>
        </w:tc>
        <w:tc>
          <w:tcPr>
            <w:tcW w:w="78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Дроны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-перехватчики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дроны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-камикадзе)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Пневматические сети-ловушки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Акустические средства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Радиолокационно-оптический комплекс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rPr>
          <w:trHeight w:val="950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ind w:right="-65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Переносной (стационарный) комплекс противодействия БВС 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rPr>
          <w:trHeight w:val="425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Антидрон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-система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rPr>
          <w:trHeight w:val="435"/>
        </w:trPr>
        <w:tc>
          <w:tcPr>
            <w:tcW w:w="98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Строительные конструкции</w:t>
            </w: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Армированные бетонные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Металлические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Противообвальные по СП</w:t>
            </w:r>
            <w:proofErr w:type="gramEnd"/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7E2C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Деревянные подпорные конструкции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B7115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7E2C" w:rsidRDefault="00817E2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широкого диапазона приспосабливаемых и производимых средств защиты наиболее универсальными являются: </w:t>
      </w:r>
    </w:p>
    <w:p w:rsidR="00817E2C" w:rsidRDefault="00B7115B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блоки бетонные фундаментные;</w:t>
      </w:r>
    </w:p>
    <w:p w:rsidR="00817E2C" w:rsidRDefault="00B7115B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опалубка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мелкощитовая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модульная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грунтозаполненная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контрфорсами;</w:t>
      </w:r>
    </w:p>
    <w:p w:rsidR="00817E2C" w:rsidRDefault="00B7115B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фортификационные габионы ГНТ-1, ГНТ-2 российского производства;</w:t>
      </w:r>
    </w:p>
    <w:p w:rsidR="00817E2C" w:rsidRDefault="00B7115B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блоки композитные универсальные российского производства;</w:t>
      </w:r>
    </w:p>
    <w:p w:rsidR="00817E2C" w:rsidRDefault="00B7115B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 из рулонного многослойного бетона;</w:t>
      </w:r>
    </w:p>
    <w:p w:rsidR="00817E2C" w:rsidRDefault="00B7115B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мешки с песком;</w:t>
      </w:r>
    </w:p>
    <w:p w:rsidR="00817E2C" w:rsidRDefault="00B7115B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насыпи грунтовые.</w:t>
      </w:r>
    </w:p>
    <w:p w:rsidR="00817E2C" w:rsidRDefault="00B7115B">
      <w:pPr>
        <w:widowControl w:val="0"/>
        <w:spacing w:after="0" w:line="360" w:lineRule="auto"/>
        <w:ind w:firstLine="709"/>
        <w:contextualSpacing/>
        <w:jc w:val="both"/>
        <w:rPr>
          <w:spacing w:val="-2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 целью максимальной защиты ОПФ необходимо использовать весь спектр средств, в т. ч. и тяжелых конструкций согласно подпунктам 1-3 таблицы 5.</w:t>
      </w:r>
    </w:p>
    <w:p w:rsidR="00817E2C" w:rsidRDefault="00B7115B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Значительная степень защиты достигается сочетанием применения блоков фундаментных и многорядных (не менее 2 рядов) фортификационных габионов              с однорядным вторым ярусом.</w:t>
      </w:r>
    </w:p>
    <w:p w:rsidR="00817E2C" w:rsidRDefault="00B7115B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Достаточная степень защиты может быть обеспечена использованием конструкций, отмеченных в подпунктах 3-6 таблицы 5. 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Умеренная степень защиты (минимальная из возможных) предполагает использование подручных средств: щиты металлические, габионы фортификационные, мешки и контейнеры с песком, насыпи грунтовые.                    Такая защита возможна при угрозе применения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защищаемым объектам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(при военных конфликтах) и предполагает использование широкого спектра материалов, обладающих защитными свойствами в соответствии с таблицей 6.</w:t>
      </w:r>
    </w:p>
    <w:p w:rsidR="00817E2C" w:rsidRDefault="00B7115B">
      <w:pPr>
        <w:widowControl w:val="0"/>
        <w:spacing w:after="0" w:line="34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 результатов экспериментов по данным защитных свойств конструкций показывает целесообразность представленного подхода к повышению эффективности защиты ОПФ организаций, необходимых для выживания населения при военных конфликтах или вследствие этих конфликтов.</w:t>
      </w:r>
    </w:p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B711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6. Защитные свойства материалов от спорадического (случайного, беспорядочного)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огня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*</w:t>
      </w:r>
    </w:p>
    <w:tbl>
      <w:tblPr>
        <w:tblW w:w="9923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3828"/>
        <w:gridCol w:w="6095"/>
      </w:tblGrid>
      <w:tr w:rsidR="00817E2C">
        <w:trPr>
          <w:trHeight w:val="47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Толщина защитного слоя,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</w:t>
            </w:r>
          </w:p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(средние значения)</w:t>
            </w:r>
          </w:p>
        </w:tc>
      </w:tr>
      <w:tr w:rsidR="00817E2C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17E2C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817E2C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Кирпич полнотелый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817E2C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Щебень 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  <w:tr w:rsidR="00817E2C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Песок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817E2C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Лед монолит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  <w:tr w:rsidR="00817E2C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Грунт средней плотности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817E2C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Пенобетон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817E2C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Дерево (сосна живая)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</w:tr>
      <w:tr w:rsidR="00817E2C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Доска сухая (сосна)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</w:tr>
    </w:tbl>
    <w:p w:rsidR="00817E2C" w:rsidRDefault="00B7115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материалам рекомендаций специалистам гуманитарных организаций, действующих в зоне конфликта.</w:t>
      </w:r>
    </w:p>
    <w:p w:rsidR="00817E2C" w:rsidRDefault="00B7115B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 Для защиты от сосредоточенного огня толщину защитного слоя рекомендуется увеличить вдвое.</w:t>
      </w:r>
    </w:p>
    <w:p w:rsidR="00817E2C" w:rsidRDefault="00817E2C">
      <w:pPr>
        <w:widowControl w:val="0"/>
        <w:spacing w:after="0" w:line="343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4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защиты объектов и коммуникаций в северной климатической зоне рекомендуется использовать серийно производимые комплекты водоналивных полипропиленовых конструкций (водоналивные дамбы). В условиях низких температур эти конструкции обеспечивают защиту от любых средств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7E2C" w:rsidRDefault="00817E2C">
      <w:pPr>
        <w:widowControl w:val="0"/>
        <w:spacing w:after="0" w:line="343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43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5.3 Средства защиты основных производственных фондов организаций от поражения ударными беспилотными авиационными системами, беспилотными воздушными судами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дронами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коптерами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БАС, БВС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различного назначения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в современной военно-политической обстановке приобрело стратегический характер.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БАС, БВС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представляют угрозу для промышленных предприятий, аграрных комплексов (особенно мест хранения сельхозпродукции), административных зданий, теплоэлектростанций, очистных сооружений, вокзалов, аэродромов и других объектов критической инфраструктуры. 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Чаще всего подвергаются разведке и атакам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беспилотников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 типы объектов: ГТС, зернохранилища, складские комплексы, хранилища ЛВХ, ОХВ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радиоактивных веществ, ГРП, ГРС, насосные станции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вентустановки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системы пожарной безопасности, трубопроводы, АСУП, объекты ЖКХ, ЛЭП и т.д. 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Атаки с применением ударных БАС, БВС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могут иметь серьёзные последствия: возникновение опасности для жизни и здоровья людей, прекращение функционирования объекта до устранения последствий, техногенные аварии и экологические катастрофы, значительные затраты на устранение повреждений, деморализация населения. 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задачи системы по борьбе с БАС, БВС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своевременное их обнаружение в зоне наблюдения рядом с объектом;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оповещение сотрудников предприятия с целью дать им возможность перевести производственные процессы в безопасное состояние, покинуть объект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сообщить специальным службам; 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локализация и нейтрализация БАС, БВС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системам противодействия БАС, БВС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предъявляются определенные требования.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именно, система должна быть: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высокоэффективной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любых погодных условиях;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способной оперативно разворачиваться;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простой в применении и обслуживании;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готовой к многократному использованию (должна быстро возвращаться в состояние готовности к очередному применению).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  методы противодействия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боевым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беспилотникам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условно разделить на контактные и бесконтактные.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5.3.1 Контактные методы противодействия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БАС, БВС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противодронов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подразу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мевает использование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-перехватчиков (рис.1)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-камикадзе (рис.2). Предполагается наличие парка автоматизированных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ряде случаев специально подготовленного оператора. Возникает необходимость в дополнительных ресурсах, также техническом обслуживании и ремонте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каждого налета противника на охраняемый объект.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метод мало пригоден для охраны объекта от средних и больших БВС (в основном самолетного типа), а также в условиях применения БАС.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 рассчитана на эксплуатацию в умеренных погодных условиях,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является безусловным ограничением в ее применении.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" behindDoc="0" locked="0" layoutInCell="0" allowOverlap="1">
            <wp:simplePos x="0" y="0"/>
            <wp:positionH relativeFrom="margin">
              <wp:posOffset>3429000</wp:posOffset>
            </wp:positionH>
            <wp:positionV relativeFrom="paragraph">
              <wp:posOffset>184150</wp:posOffset>
            </wp:positionV>
            <wp:extent cx="2704465" cy="1895475"/>
            <wp:effectExtent l="0" t="0" r="0" b="0"/>
            <wp:wrapNone/>
            <wp:docPr id="1" name="Рисунок 12" descr="https://arsenal-otechestva.ru/images/articles/2021/06/hjuglgj6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2" descr="https://arsenal-otechestva.ru/images/articles/2021/06/hjuglgj6_24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4611" t="51630" r="2391" b="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3" behindDoc="0" locked="0" layoutInCell="0" allowOverlap="1">
            <wp:simplePos x="0" y="0"/>
            <wp:positionH relativeFrom="margin">
              <wp:posOffset>304800</wp:posOffset>
            </wp:positionH>
            <wp:positionV relativeFrom="paragraph">
              <wp:posOffset>184785</wp:posOffset>
            </wp:positionV>
            <wp:extent cx="2581275" cy="1913255"/>
            <wp:effectExtent l="0" t="0" r="0" b="0"/>
            <wp:wrapNone/>
            <wp:docPr id="2" name="Рисунок 13" descr="https://arsenal-otechestva.ru/images/articles/2021/06/hjuglgj6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3" descr="https://arsenal-otechestva.ru/images/articles/2021/06/hjuglgj6_24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67" t="50764" r="55172" b="6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7E2C" w:rsidRDefault="00817E2C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817E2C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817E2C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817E2C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48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Рис.1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-камикадзе                                         Рис. 2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-перехватчик</w:t>
      </w:r>
    </w:p>
    <w:p w:rsidR="00817E2C" w:rsidRDefault="00817E2C">
      <w:pPr>
        <w:widowControl w:val="0"/>
        <w:spacing w:after="0" w:line="348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сетей-ловушек (рис.3) относится к одному из самых экономичных контактных методов противодействия БВС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Такое средство почти универсально, так как зависит лишь от мощности устройства запуска сети и от особенностей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взрывобезопасности охраняемого объекта, когда недопустима произвольная посадка (падение) ударного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-камикадзе, так как он может взорваться. Развитие и автоматизация таких систем сегодня не требует специфических навыков от оператора, что позволяет интегрировать их в многофункциональную систему охраны.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система не требует длительного времени на подготовку оператора,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применении и обслуживании, может эксплуатироваться в походном положении, монтироваться в кузове автомобиля, размещаться стационарно. 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Радиус эффективного действия устройства – до 100 метров.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4" behindDoc="0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943225" cy="1866900"/>
            <wp:effectExtent l="0" t="0" r="0" b="0"/>
            <wp:wrapNone/>
            <wp:docPr id="3" name="Рисунок 15" descr="https://arsenal-otechestva.ru/images/articles/2021/06/hjuglgj6_2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5" descr="https://arsenal-otechestva.ru/images/articles/2021/06/hjuglgj6_241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3773" t="505" r="5051" b="8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5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067050" cy="1884680"/>
            <wp:effectExtent l="0" t="0" r="0" b="0"/>
            <wp:wrapNone/>
            <wp:docPr id="4" name="Рисунок 16" descr="https://arsenal-otechestva.ru/images/articles/2021/06/hjuglgj6_2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6" descr="https://arsenal-otechestva.ru/images/articles/2021/06/hjuglgj6_2412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9049" t="15200" r="25072" b="7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817E2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B7115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Рис.3 – Пневматическая турель для запуска снаряда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противодроновой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сетью-ловушкой </w:t>
      </w: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5.3.2 Бесконтактные методы противодействия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БАС, БВС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Бесконтактные методы отличаются высокой технологичностью 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наукоемкостью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. 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Акустический метод противодействия малым БВС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заключается в применении направленной звуковой волны мощностью около 140 дБ на расстоянии 40 м с целью вывода из строя механизма гироскопа малого БВС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что в дальнейшем ведет к потере управления. Преимуществом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такого метода является отсутствие визуального демаскирующего фактора системы.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эффективным на сегодняшний день в борьбе с БАС, БВС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является переносной (стационарный) комплекс противодействия БВС всенаправленного действия 360°х180° (рис. 4).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включении мгновенно создается «непроницаемая» для БАС, БВС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защитная полусфера радиусом не менее 2 км одновременно в 10 частотных диапазонах.</w:t>
      </w:r>
      <w:proofErr w:type="gramEnd"/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6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1808480" cy="2009775"/>
            <wp:effectExtent l="0" t="0" r="0" b="0"/>
            <wp:wrapNone/>
            <wp:docPr id="5" name="Рисунок 17" descr="https://arsenal-otechestva.ru/images/articles/2021/06/hjuglgj6_2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7" descr="https://arsenal-otechestva.ru/images/articles/2021/06/hjuglgj6_2412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796" t="76561" r="79096" b="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B7115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Рис. 4 - Переносной (стационарный) комплекс </w:t>
      </w:r>
    </w:p>
    <w:p w:rsidR="00817E2C" w:rsidRDefault="00B7115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противодействия БВС «Купол-про»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свою эффективность в борьбе с БАС, БВС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показала состоящая из нескольких модулей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Антидрон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-система.</w:t>
      </w:r>
      <w:proofErr w:type="gramEnd"/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Типовые модули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Антидрон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-системы включают в себя: радиолокационный радар – радиотехническую систему для обнаружения воздушных объектов, систему радиочастотного отслеживания, модуль визуального распознавания, который согласно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целеуказаниям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поворачивается в сторону воздушного объекта, распознаёт его и отправляет сигнал на посадку. Если модуль не может определить модель БВС, он глушит все радиочастоты, в результате чего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беспилотник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приземляется в том месте, где произошёл обрыв связи. 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Антидрон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-система способна обучаться, при необходимости она будет реагировать лишь на новые БВС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коптеры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которые не смогла опознать. Система способна детектировать движение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беспилотников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радиусе 1,5 км.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радиус распознавания влияют здания и сооружения, высокие деревья, особенности рельефа и другие препятствия, которые могут помешать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функционированию комплекса. Также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Антидрон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-система может быть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укомплектована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дополнительным оборудованием.</w:t>
      </w:r>
    </w:p>
    <w:p w:rsidR="00817E2C" w:rsidRDefault="00817E2C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5.4 Объемно-планировочные решения защиты основных производственных фондов организаций</w:t>
      </w:r>
    </w:p>
    <w:p w:rsidR="00817E2C" w:rsidRDefault="00B7115B">
      <w:pPr>
        <w:widowControl w:val="0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объемные мероприятия по защите первых этажей зданий                       и сооружений от поражающих факторов ССП и вторичных факторов поражения включают в себя: внешнюю защиту зданий, сооружений и отдельных участков коммуникаций на неподготовленном основании (грунте), внешнюю защиту                     на имеющемся подготовленном основании с привязкой к фундаменту. Применение для защиты зданий и сооружений фортификационных габионов возможно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многорядном и многоярусном исполнении. </w:t>
      </w:r>
    </w:p>
    <w:p w:rsidR="00817E2C" w:rsidRDefault="00B7115B">
      <w:pPr>
        <w:widowControl w:val="0"/>
        <w:spacing w:after="0" w:line="348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результатов оценки возможной обстановки защита ОПФ (зданий, сооружений, технологического оборудования) организаций осуществляется локально с наиболее вероятных направлений воздействия, а для оборудования, расположенного внутри помещений – и от обломков разрушающихся ограждающих конструкций.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Часть несущих конструкций (колонн) могут быть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усилены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периметру сборной строительной стандартной опалубкой, выполненной с зазором, заполненным песком или песчано-гравийной смесью. 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зданий с большой площадью остекления рекомендуется предусматривать защиту персонала и наиболее уязвимого оборудования                      от осколков стекла.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Защита верхних этажей зданий с оборудованием, а также объектов системы жизнеобеспечения может предусматривать применение мешков с песком, щитов, элементов модульной опалубки и ставень для перекрытия оконных проемов.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ИТМ, увеличивающие нагрузку на межэтажные перекрытия в многоэтажных зданиях,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проводятся.</w:t>
      </w:r>
      <w:proofErr w:type="gramEnd"/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Защита верхних площадок вертикально расположенного оборудования может проводиться локально с применением специальных средств по решению руководителя ГО организации.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Защита вводов в здания наращивается с использованием легко разборных конструкций (мешков с песком, щитов, модульной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грунтозаполненной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опалубки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прочее).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сооружений с плоской крышей, выполненной из материалов, поддерживающих горение, должны быть предусмотрены мероприятия противопожарной защиты.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защиты территории объекта возможно обустройство конструкций (габионов, бетонных фундаментных блоков, насыпей, мешков с песком) по всему периметру с использованием существующего ограждения.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Входы в производственные здания, здания управления могут быть обустроены временными защитными конструкциями с обеспечением поворота под 90 градусов.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Подземные сооружения и помещения могут быть защищены размещением над ними габионов, мешков с песком, водоналивных полипропиленовых конструкций (при низких температурах).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Следует учитывать, что при отсутствии прикрытия средствами ПВО и РЭБ, возможно поражение подземных укрепленных сооружений ВТО. Часть подземных коммуникаций, помещений (в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ЗС ГО для НРС) обнаруживаются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инфракрасном спектре наблюдения. В этом случае необходимы мероприятия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маскировке согласно требованиям СП 264.1325800.2016.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Въезды на территорию предприятия рекомендуется обустраивать специальными или выполненными из железобетонных конструкций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противотаранными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заграждениями.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817E2C" w:rsidRDefault="00B711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ОРГАНИЗАЦИЯ РАБОТЫ ПО ЗАЩИТЕ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ОСНОВНЫХ ПРОИЗВОДСТВЕННЫХ ФОНДОВ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ОРГАНИЗАЦИЙ. </w:t>
      </w:r>
    </w:p>
    <w:p w:rsidR="00817E2C" w:rsidRDefault="00B711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КОМИССИЯ ПО ПОВЫШЕНИЮ УСТОЙЧИВОСТИ ФУНКЦИОНИРОВАНИЯ ОРГАНИЗАЦИИ</w:t>
      </w:r>
    </w:p>
    <w:p w:rsidR="00817E2C" w:rsidRDefault="00817E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 Порядок выполнения мероприятий по защите ОПФ организаций может быть следующим.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6.1.1 Сбор исходных данных. Постановка задачи руководителям структурных подразделений организации по сбору исходных данных                             для прогнозирования инженерной обстановки и производственных возможностей организации в условиях применения ССП.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6.1.2 Прогнозирование инженерной обстановки и производственных возможностей по основным производствам (видам работ, услуг).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6.1.3 Подготовка и утверждение перечня ОПФ, требующих защиты                       в условиях военного конфликта.</w:t>
      </w:r>
      <w:proofErr w:type="gramEnd"/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6.1.4 Выбор и обоснование средств защиты по каждому защищаемому виду ОПФ.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6.1.5 Выбор способов защиты ОПФ: зданий, сооружений на открытых площадках, технологического оборудования, машин и механизмов, расположенных внутри зданий, подземных коммуникаций и сооружений, цехового и межцехового транспорта, ГВЦ, объектов управления и телекоммуникаций.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6.1.6 Утверждение объемно-планировочных решений защиты по каждому виду технологического оборудования.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6.1.7 Обоснование предложений лицу, принимающему решение по закупке защитных конструкций или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оронних производителей.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решения по изготовлению защитных конструкции собственными силами                             или приспособления имущества организации для целей защиты.</w:t>
      </w:r>
      <w:proofErr w:type="gramEnd"/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6.1.8 Расчет трудоемкости работ по защите ОПФ, временных показателей выполнения мероприятий и необходимых финансовых средств.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6.1.9 Подготовка раздела плана наращивания мероприятий по ПУФ организации: назначение ответственных, указание участков работ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последовательности выполнения ИТМ по защите ОПФ, согласование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утверждение состава сил, средств и сроков выполнения работ.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6.1.10 Утверждение раздела плана наращивания мероприятий по ПУФ организации в составе всего плана. Доведение до исполнителей.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6.1.11 Подготовка сил и материальных средств.</w:t>
      </w:r>
    </w:p>
    <w:p w:rsidR="00817E2C" w:rsidRDefault="00B7115B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соответствии с пунктом 16.13 Положения о ГО в МО и организациях для работы в мирное и военное время в организациях, необходимых                                 для выживания населения при военных конфликтах, создается специальная комиссия по вопросам ПУФ объектов экономики. Защита ОПФ – часть задач комиссии.</w:t>
      </w:r>
    </w:p>
    <w:p w:rsidR="00817E2C" w:rsidRDefault="00B7115B">
      <w:pPr>
        <w:tabs>
          <w:tab w:val="left" w:pos="720"/>
        </w:tabs>
        <w:spacing w:after="0" w:line="360" w:lineRule="auto"/>
        <w:ind w:firstLine="72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КПУФ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экономики является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внештатным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органом</w:t>
      </w:r>
      <w:r>
        <w:rPr>
          <w:rFonts w:ascii="Times New Roman" w:hAnsi="Times New Roman" w:cs="Times New Roman"/>
          <w:color w:val="C9211E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организации, эксплуатирующей подлежащие защите объекты.</w:t>
      </w:r>
    </w:p>
    <w:p w:rsidR="00817E2C" w:rsidRDefault="00B7115B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КПУФ создается на основании приказа руководителя организации                    «Об обеспечении устойчивости функционирования организации при военном конфликте», в котором определяется цель работы КПУФ, основные задачи                    и состав.</w:t>
      </w:r>
    </w:p>
    <w:p w:rsidR="00817E2C" w:rsidRDefault="00B7115B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Приказом руководителя утверждается Положение о КПУФ, определяются основные задачи, структура КПУФ и состав ее членов, их полномочия, права                 и порядок работы. Утверждается план работы на год.</w:t>
      </w:r>
    </w:p>
    <w:p w:rsidR="00817E2C" w:rsidRDefault="00B7115B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организациях, эксплуатирующих несколько объектов, продолжающих работу в военное время, КПУФ могут быть созданы на каждом объекте – обособленном подразделении организации.</w:t>
      </w:r>
    </w:p>
    <w:p w:rsidR="00817E2C" w:rsidRDefault="00B7115B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КПУФ создаётся из наиболее подготовленных и опытных специалистов               из руководящего состава организации.</w:t>
      </w:r>
    </w:p>
    <w:p w:rsidR="00817E2C" w:rsidRDefault="00B7115B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Состав КПУФ определяется ее задачами и всегда соответствует функциональным должностным обязанностям входящих в нее специалистов организации. Это персонал, имеющий распорядительные полномочия,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и специалисты, имеющие специальные компетенции в обеспечении функционирования объекта (или объектов) организации.</w:t>
      </w:r>
    </w:p>
    <w:p w:rsidR="00817E2C" w:rsidRDefault="00B7115B">
      <w:pPr>
        <w:tabs>
          <w:tab w:val="left" w:pos="1080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Председатель КПУФ – заместитель руководителя организации, либо главный инженер эксплуатируемого объекта.</w:t>
      </w:r>
    </w:p>
    <w:p w:rsidR="00817E2C" w:rsidRDefault="00B7115B">
      <w:pPr>
        <w:tabs>
          <w:tab w:val="left" w:pos="1080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Заместитель председателя КПУФ – заместитель руководителя организации, курирующий вопросы технической составляющей объектов.</w:t>
      </w:r>
    </w:p>
    <w:p w:rsidR="00817E2C" w:rsidRDefault="00B7115B">
      <w:pPr>
        <w:tabs>
          <w:tab w:val="left" w:pos="1080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Члены КПУФ: сотрудники организации из руководящего состава структурных подразделений, отвечающих за организацию производственного процесса и обеспечения безопасности при его осуществлении.</w:t>
      </w:r>
    </w:p>
    <w:p w:rsidR="00817E2C" w:rsidRDefault="00B7115B">
      <w:pPr>
        <w:tabs>
          <w:tab w:val="left" w:pos="1080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состав КПУФ могут быть включены руководители юридического подразделения и бухгалтерии организации для решения правовых и финансовых вопросов, возникающих в процессе осуществления деятельности КПУФ, а также иные работники организации, компетентные в решении задач, поставленных перед КПУФ.</w:t>
      </w:r>
    </w:p>
    <w:p w:rsidR="00817E2C" w:rsidRDefault="00B7115B">
      <w:pPr>
        <w:tabs>
          <w:tab w:val="left" w:pos="1080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 рекомендуется в состав КПУФ включать военнообязанных специалистов, не имеющих бронь.</w:t>
      </w:r>
    </w:p>
    <w:p w:rsidR="00817E2C" w:rsidRDefault="00B7115B">
      <w:pPr>
        <w:tabs>
          <w:tab w:val="left" w:pos="1080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Также запрещается включать в состав КПУФ руководителя организации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и работников структурного подразделения организации, уполномоченных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на решение вопросов в области ГО и ЧС.</w:t>
      </w:r>
    </w:p>
    <w:p w:rsidR="00817E2C" w:rsidRDefault="00B7115B">
      <w:pPr>
        <w:tabs>
          <w:tab w:val="left" w:pos="1080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необходимости на заседания КПУФ могут приглашаться работники структурного подразделения организации, уполномоченные на решение вопросов в области ГО и ЧС, а также руководители созданных сил ГО (при наличии).</w:t>
      </w:r>
    </w:p>
    <w:p w:rsidR="00817E2C" w:rsidRDefault="00B7115B">
      <w:pPr>
        <w:pStyle w:val="aff6"/>
        <w:spacing w:line="360" w:lineRule="auto"/>
        <w:jc w:val="both"/>
      </w:pPr>
      <w:r>
        <w:rPr>
          <w:color w:val="000000"/>
          <w:sz w:val="28"/>
          <w:szCs w:val="28"/>
        </w:rPr>
        <w:t>Основными задачами КПУФ являются:</w:t>
      </w:r>
    </w:p>
    <w:p w:rsidR="00817E2C" w:rsidRDefault="00B7115B">
      <w:pPr>
        <w:pStyle w:val="aff6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разработки, планирования и контроля выполнения мероприятий по ПУФ организации (эксплуатируемого объекта) в условиях военного конфликта;</w:t>
      </w:r>
    </w:p>
    <w:p w:rsidR="00817E2C" w:rsidRDefault="00B7115B">
      <w:pPr>
        <w:pStyle w:val="aff6"/>
        <w:spacing w:line="360" w:lineRule="auto"/>
        <w:ind w:left="0" w:firstLine="709"/>
        <w:jc w:val="both"/>
      </w:pPr>
      <w:r>
        <w:rPr>
          <w:color w:val="000000"/>
          <w:sz w:val="28"/>
          <w:szCs w:val="28"/>
        </w:rPr>
        <w:t>организация и проведение исследовательских работ по оценке уязвимости ОПФ производства, безопасности НРС на объекте в условиях военного времени;</w:t>
      </w:r>
    </w:p>
    <w:p w:rsidR="00817E2C" w:rsidRDefault="00B7115B">
      <w:pPr>
        <w:pStyle w:val="aff6"/>
        <w:spacing w:line="360" w:lineRule="auto"/>
        <w:ind w:left="0" w:firstLine="709"/>
        <w:jc w:val="both"/>
      </w:pPr>
      <w:r>
        <w:rPr>
          <w:color w:val="000000"/>
          <w:sz w:val="28"/>
          <w:szCs w:val="28"/>
        </w:rPr>
        <w:t>координация выполнения структурными подразделениями организации мероприятий по ПУФ на территории эксплуатируемого объекта (объектов);</w:t>
      </w:r>
    </w:p>
    <w:p w:rsidR="00817E2C" w:rsidRDefault="00B7115B">
      <w:pPr>
        <w:pStyle w:val="aff6"/>
        <w:spacing w:line="360" w:lineRule="auto"/>
        <w:ind w:left="0" w:firstLine="709"/>
        <w:jc w:val="both"/>
      </w:pPr>
      <w:r>
        <w:rPr>
          <w:color w:val="000000"/>
          <w:sz w:val="28"/>
          <w:szCs w:val="28"/>
        </w:rPr>
        <w:t xml:space="preserve">осуществление контроля за проведением мероприятий по ПУФ </w:t>
      </w:r>
      <w:r>
        <w:rPr>
          <w:color w:val="000000"/>
          <w:sz w:val="28"/>
          <w:szCs w:val="28"/>
        </w:rPr>
        <w:br/>
        <w:t xml:space="preserve">в структурных подразделениях </w:t>
      </w:r>
      <w:proofErr w:type="gramStart"/>
      <w:r>
        <w:rPr>
          <w:color w:val="000000"/>
          <w:sz w:val="28"/>
          <w:szCs w:val="28"/>
        </w:rPr>
        <w:t>организации</w:t>
      </w:r>
      <w:proofErr w:type="gramEnd"/>
      <w:r>
        <w:rPr>
          <w:color w:val="000000"/>
          <w:sz w:val="28"/>
          <w:szCs w:val="28"/>
        </w:rPr>
        <w:t xml:space="preserve"> как в повседневном режиме,                    </w:t>
      </w:r>
      <w:r>
        <w:rPr>
          <w:color w:val="000000"/>
          <w:sz w:val="28"/>
          <w:szCs w:val="28"/>
        </w:rPr>
        <w:lastRenderedPageBreak/>
        <w:t>так и при военном конфликте;</w:t>
      </w:r>
    </w:p>
    <w:p w:rsidR="00817E2C" w:rsidRDefault="00B7115B">
      <w:pPr>
        <w:pStyle w:val="aff6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подготовки руководящего состава и персонала объекта                    по вопросам ПУФ;</w:t>
      </w:r>
    </w:p>
    <w:p w:rsidR="00817E2C" w:rsidRDefault="00B7115B">
      <w:pPr>
        <w:pStyle w:val="aff6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и проведение учений и тренировок с персоналом, в ходе которых отрабатываются вопросы защиты ОПФ организации;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обеспечение защиты рабочих и служащих при военном конфликте;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организация рационального размещение производственных сил и ОПФ предприятия на соответствующей территории;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подготовка к выполнению работ по восстановлению предприятия (организации) после поражения противником;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обеспечение устойчивого управления в условиях военного конфликта;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осуществление взаимодействия с ОМСУ.</w:t>
      </w:r>
    </w:p>
    <w:p w:rsidR="00817E2C" w:rsidRDefault="00B7115B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задач КПУФ является проведение анализа действующего технологического процесса, выбора оборудования, подлежащего защите, способов и средств защиты.</w:t>
      </w:r>
    </w:p>
    <w:p w:rsidR="00817E2C" w:rsidRDefault="00B7115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КПУФ проводит анализ технологии производства, рассматривает на основе анализа каждую рекомендуемую для защиты единицу оборудования, устанавливает наиболее уязвимые узлы и элементы выбранного оборудования              и их физическую устойчивость в условиях воздействия ССП, ВТО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террористических проявлений, определяет мероприятия по защите оборудования, сроки выполнения, последовательность установки защитных устройств и задействованные для этого подъемно-транспортные механизмы                   и иные средства.</w:t>
      </w:r>
      <w:proofErr w:type="gramEnd"/>
    </w:p>
    <w:p w:rsidR="00817E2C" w:rsidRDefault="00B7115B">
      <w:pPr>
        <w:tabs>
          <w:tab w:val="left" w:pos="0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подготовки решения по защите технологического оборудования критически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особо опасных, технически сложных и уникальных, либо ОПО и ГТС могут привлекаться проектные конструкторские организации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научно-исследовательские институты на договорной основе.</w:t>
      </w:r>
    </w:p>
    <w:p w:rsidR="00817E2C" w:rsidRDefault="00B7115B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КПУФ определяет необходимые материальные ресурсы и ориентировочные затраты на изготовление, доставку и установку защитных устройств.</w:t>
      </w:r>
    </w:p>
    <w:p w:rsidR="00817E2C" w:rsidRDefault="00B7115B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Выбор оборудования с учетом его физической устойчивости по отношению к поражающим факторам внешних воздействий осуществляется на основе степени важности его участия в технологическом процессе выпуска продукции        по плану расчетного года, результатов экспертной оценки, а также на основе использования справочных материалов, паспортов оборудования технической документации, каталогов и других руководящих документов. Степень устойчивости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поражающим факторам ССП для ОПФ отражена в Справочнике по гражданской обороне (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изд. «Воениздат» МО СССР, 78 год, Москва, 384 с.)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7E2C" w:rsidRDefault="00B7115B">
      <w:pPr>
        <w:tabs>
          <w:tab w:val="left" w:pos="1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 по защите оборудования определяются на основе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технико-экономического анализа возможных способов и средств защиты.</w:t>
      </w:r>
    </w:p>
    <w:p w:rsidR="00817E2C" w:rsidRDefault="00B7115B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Ежегодно, в установленные руководителем ГО организации сроки, КПУФ уточняет принятое ранее решение по защите ОПФ. Исключение оборудования              из перечня по защите может производиться только по решению КПУФ, оформленному в установленном порядке.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тех случаях, когда объем защитных мероприятий большой, на каждую единицу оборудования, учтенного для защиты, рекомендуется заводить карточку, в которой отражаются организационные и инженерно-технические вопросы                   его защиты. Карточка хранится у начальника цеха, а копии – в службах главного механика, главного технолога, главного энергетика предприятия (объединения). Форма карточки должна максимально соответствовать учетным данным.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Организация защиты ОПФ в военное время представляет сложную управленческую, логистическую, инженерно-техническую задачу, выполняемую силами организации и организациями, привлекаемыми на договорной основе                при непрерывном безостановочном функционировании эксплуатируемых объектов.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по защите организуется на плановой основе. Планирование                       по защите ОПФ осуществляется в мирное время в рамках годового плана, предусматривающего основные мероприятия по вопросам ГО, предупреждения                 и ликвидации ЧС, а также соответствующего приложения к плану ГО организации (План наращивания мероприятий по ПУФ организации согласно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требованиям приказа МЧС России </w:t>
      </w:r>
      <w:r>
        <w:rPr>
          <w:rFonts w:ascii="Times New Roman" w:hAnsi="Times New Roman" w:cs="Times New Roman"/>
          <w:color w:val="000000"/>
          <w:sz w:val="28"/>
          <w:szCs w:val="28"/>
        </w:rPr>
        <w:t>от 27 марта 2020 г. № 216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Срок проведения основных защитных мероприятий в мирное время устанавливается в строгом соответствии с минимально возможными сроками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  <w:t>по их реализации согласно технологическим и производственным возможностям организации.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Подготовительные мероприятия по реализации плана наращивания мероприятий по ПУФ организации в военное время должны обеспечивать его реализацию в срок до 24 часов.</w:t>
      </w: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17E2C" w:rsidRDefault="00B7115B">
      <w:pPr>
        <w:widowControl w:val="0"/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РЕКОМЕНДАЦИИ ПО РАСПРЕДЕЛЕНИЮ ОБЯЗАННОСТЕЙ 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ДОЛЖНОСТНЫХ ЛИЦ ПО ЗАЩИТЕ ОСНОВНЫХ ПРОИЗВОДСТВЕННЫХ ФОНДОВ ОРГАНИЗАЦИИ, НЕОБХОДИМОЙ ДЛЯ ВЫЖИВАНИЯ НАСЕЛЕНИЯ ПРИ ВОЕННЫХ КОНФЛИКТАХ</w:t>
      </w:r>
    </w:p>
    <w:p w:rsidR="00817E2C" w:rsidRDefault="00817E2C">
      <w:pPr>
        <w:widowControl w:val="0"/>
        <w:spacing w:after="0" w:line="360" w:lineRule="auto"/>
        <w:ind w:hanging="142"/>
        <w:jc w:val="center"/>
      </w:pP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руководство работой по защите ОПФ возлагается на руководителя организации, непосредственное – на председателя КПУФ.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организации: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утверждает положение о КПУФ и ее состав;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утверждает планирующие документы по реализации мероприятий 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том числе содержащие мероприятия по защите ОПФ организации;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рассматривает и утверждает предложения, поступающие от КПУФ                         о реализации мероприятий по защите ОПФ организации, в том числе о выделении финансирования на них.</w:t>
      </w: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КПУФ:</w:t>
      </w: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определяет состав КПУФ и распределение обязанностей между ее членами,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также организацию работы по составлению перечня ОПФ, подлежащего защите, задачи, порядок и сроки ее деятельности;</w:t>
      </w: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рассматривает и направляет на утверждение руководителю организации решение по средствам, способам и объемам защиты ОПФ, разработанное КПУФ;</w:t>
      </w: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определяет состав и объем работ, выполняемых структурными подразделениями организации в интересах основного производства;</w:t>
      </w: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рассматривает технико-экономические показатели мероприятий по защите ОПФ, разработанные КПУФ;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 исполнителей и сроки по разработке конструкторской                         и технологической документации на защитные средства, изготавливаемые своими силами и места ее хранения;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назначает ответственных исполнителей, определяет место и время изготовления и установки защитных устройств;</w:t>
      </w: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 предложения по организации подготовки и практических тренировок производственного персонала;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выполнением мероприятий по защите ОПФ.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КПУФ: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координируют работу структурных подразделений организации по защите ОПФ и несут персональную ответственность за их сохранность;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участвуют в отборе ОПФ и определяют мероприятия по их защите                     для включения в план ПУФ организации и в план развития;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организуют создание СФД в целях оперативного восстановления утраченных ОПФ;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организуют подготовку предложений по созданию запасов ГО, необходимых для восстановления ОПФ;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участвуют в работе и отвечают за обоснованный отбор ОПФ, подлежащих защите;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 и обеспечивают (по возможности) размещение наиболее ценных и уязвимых групп ОПФ в местах наименьших обрушений и вне зон возможной опасности;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обеспечивают внедрение в производство безопасных веществ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охлаждающих жидкостей, замену легковоспламеняющихся и взрывчатых веществ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неопасные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контролируют проведение работ по защите ОПФ и несут ответственность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его сохранность;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организуют хранение средств защиты в установленных местах и в случае необходимости доставку их к местам установки и монтажа;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 ответственных лиц за изготовление, доставку и установку защитных устройств;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разрабатывают карточки на ОПФ, подлежащие защите и инструкцию,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которой указываются действия персонала по обеспечению их защиты;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выполняют иные функции согласно поручениям руководителя организации и председателя КПУФ.</w:t>
      </w:r>
    </w:p>
    <w:p w:rsidR="00817E2C" w:rsidRDefault="00817E2C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 РЕКОМЕНДАЦИИ ПО ПЛАНИРОВАНИЮ МЕРОПРИЯТИЙ ЗАЩИТЫ ОСНОВНЫХ ПРОИЗВОДСТВЕННЫХ ФОНДОВ В ПЛАНАХ ГРАЖДАНСКОЙ ОБОРОНЫ ОРГАНИЗАЦИЙ, НЕОБХОДИМЫХ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ДЛЯ ВЫЖИВАНИЯ НАСЕЛЕНИЯ ПРИ ВОЕННЫХ КОНФЛИКТАХ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ИЛИ ВСЛЕДСТВИЕ ЭТИХ КОНФЛИКТОВ</w:t>
      </w:r>
    </w:p>
    <w:p w:rsidR="00817E2C" w:rsidRDefault="00817E2C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60" w:lineRule="auto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мероприятий по повышению эффективности защиты ОПФ организаций, необходимых для выживания населения при военных конфликтах, осуществляется в мирное время в соответствии с годовым планом, предусматривающим основные мероприятия по вопросам ГО, предупреждения               и ликвидации ЧС, и Порядком разработки, согласования и утверждения планов ГО и защиты населения (планов ГО) по установленной форме (приложение № 11 приказа МЧС России от 27 марта 2020 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№ 216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наращивания мероприятий по повышению устойчивости функционирования организации, отнесенной в установленном порядке                              к категории по ГО (или организаций, необходимых для дальнейшего выживания населения при военных конфликтах или вследствие этих конфликтов).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приложения в соответствии с приказом МЧС России имеет форму, представленную в таблице 7.</w:t>
      </w:r>
    </w:p>
    <w:p w:rsidR="00817E2C" w:rsidRDefault="00817E2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E2C" w:rsidRDefault="00B7115B">
      <w:pPr>
        <w:widowControl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7. Типовая структура плана</w:t>
      </w:r>
    </w:p>
    <w:tbl>
      <w:tblPr>
        <w:tblW w:w="9809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562"/>
        <w:gridCol w:w="3011"/>
        <w:gridCol w:w="933"/>
        <w:gridCol w:w="1577"/>
        <w:gridCol w:w="1972"/>
        <w:gridCol w:w="1754"/>
      </w:tblGrid>
      <w:tr w:rsidR="00817E2C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проводимых мероприятий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Объем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Сроки</w:t>
            </w:r>
          </w:p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выполнения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817E2C">
        <w:trPr>
          <w:trHeight w:val="203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17E2C">
        <w:trPr>
          <w:trHeight w:val="193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817E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817E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817E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817E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817E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817E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Исходными данными для планирования защиты ОПФ являются:</w:t>
      </w:r>
    </w:p>
    <w:p w:rsidR="00817E2C" w:rsidRDefault="00B7115B">
      <w:pPr>
        <w:spacing w:after="0" w:line="360" w:lineRule="auto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сведения, которые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предоставляют ИО СРФ и ОМСУ, уполномоченные               в области 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прогнозируемых к применению ССП и возможной обстановке              на территории города;</w:t>
      </w:r>
      <w:proofErr w:type="gramEnd"/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 возможных вторичных факторах поражения;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и характеристики ОПФ (в т. ч. по ОПО организации по каждому обособленному объекту);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по результатам инспекции надзорных органов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Ростехнадзора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ФГПН, федеральных надзоров в области ГО и защиты населения от ЧС);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из производственно-технического паспорта предприятия                      по составу ОПФ;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анализа результатов прогноза возможной обстановки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территории эксплуатируемого объекта организации;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и необходимая степень защиты ОПФ;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выводы из оценки подготовленности организации к решению задачи                  по защите ОПФ;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 наличии материальных и финансовых средств, предполагаемых на выполнение задачи;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предполагаемые к использованию средства защиты;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 выполнения задачи.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утвержденного руководителем ГО решения КПУФ по вопросам ПУФ объектов экономики специалистом, уполномоченным на решение задач                    в области ГО и ЧС, формируется проект приложения к Плану ГО ˗ «План наращивания мероприятий по ПКФ организации».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совершенствования планирования действий, контроля                             их исполнения и финансового обеспечения в приложении рекомендуется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предусматривать следующие обязательные разделы: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мероприятия, не требующие финансирования;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мероприятия, выполняемые силами организации;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мероприятия, планируемые к выполнению сторонними организациями                на договорной основе. </w:t>
      </w:r>
    </w:p>
    <w:p w:rsidR="00817E2C" w:rsidRDefault="00B7115B">
      <w:pPr>
        <w:spacing w:after="0" w:line="360" w:lineRule="auto"/>
        <w:ind w:firstLine="709"/>
        <w:jc w:val="both"/>
        <w:rPr>
          <w:spacing w:val="-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План может исполняться в виде план-графика с указанием мероприятий,                 их объема, начала и продолжительности работ по защите ОПФ, ответственных исполнителей и материально-технического обеспечения, как показано в таблице 7.</w:t>
      </w:r>
    </w:p>
    <w:p w:rsidR="00817E2C" w:rsidRDefault="00B7115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План-графиком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предусматриваются организационные и ИТМ защиты ОПФ.</w:t>
      </w:r>
    </w:p>
    <w:p w:rsidR="00817E2C" w:rsidRDefault="00B7115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время проведения планируемых мероприятий не должно превышать 24 часа с момента введения плана ГО и защиты населения в действие.</w:t>
      </w:r>
    </w:p>
    <w:p w:rsidR="00817E2C" w:rsidRDefault="00B7115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Рекомендуемая структура плана удобна возможностью сопоставления              при планировании и исполнении мероприятий защиты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основными мероприятиями по ГО в соответствии с календарным планом по форме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представленной в таблице 8.</w:t>
      </w:r>
    </w:p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8. Календарный план выполнения основных мероприятий по ГО</w:t>
      </w:r>
    </w:p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9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42"/>
        <w:gridCol w:w="1199"/>
        <w:gridCol w:w="1167"/>
        <w:gridCol w:w="1607"/>
        <w:gridCol w:w="354"/>
        <w:gridCol w:w="398"/>
        <w:gridCol w:w="394"/>
        <w:gridCol w:w="306"/>
        <w:gridCol w:w="308"/>
        <w:gridCol w:w="514"/>
        <w:gridCol w:w="396"/>
        <w:gridCol w:w="288"/>
        <w:gridCol w:w="396"/>
        <w:gridCol w:w="1020"/>
        <w:gridCol w:w="1202"/>
      </w:tblGrid>
      <w:tr w:rsidR="00817E2C">
        <w:trPr>
          <w:trHeight w:hRule="exact" w:val="286"/>
          <w:tblHeader/>
        </w:trPr>
        <w:tc>
          <w:tcPr>
            <w:tcW w:w="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  <w:t>№</w:t>
            </w:r>
          </w:p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102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  <w:t xml:space="preserve">Наименование мероприятий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  <w:br/>
              <w:t>по ГО</w:t>
            </w:r>
          </w:p>
        </w:tc>
        <w:tc>
          <w:tcPr>
            <w:tcW w:w="1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108" w:right="-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  <w:t xml:space="preserve">Объем выполняемых работ, </w:t>
            </w:r>
          </w:p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108" w:right="-9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  <w:t>Продолжительность выполнения</w:t>
            </w:r>
          </w:p>
        </w:tc>
        <w:tc>
          <w:tcPr>
            <w:tcW w:w="437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  <w:t>Сроки проведения</w:t>
            </w:r>
          </w:p>
        </w:tc>
        <w:tc>
          <w:tcPr>
            <w:tcW w:w="1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8"/>
                <w:szCs w:val="18"/>
                <w:lang w:eastAsia="ru-RU"/>
              </w:rPr>
              <w:t>Исполнители</w:t>
            </w:r>
          </w:p>
        </w:tc>
      </w:tr>
      <w:tr w:rsidR="00817E2C">
        <w:trPr>
          <w:trHeight w:hRule="exact" w:val="511"/>
          <w:tblHeader/>
        </w:trPr>
        <w:tc>
          <w:tcPr>
            <w:tcW w:w="4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pacing w:val="-10"/>
                <w:sz w:val="18"/>
                <w:szCs w:val="18"/>
              </w:rPr>
            </w:pPr>
          </w:p>
        </w:tc>
        <w:tc>
          <w:tcPr>
            <w:tcW w:w="1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pacing w:val="-10"/>
                <w:sz w:val="18"/>
                <w:szCs w:val="18"/>
              </w:rPr>
            </w:pPr>
          </w:p>
        </w:tc>
        <w:tc>
          <w:tcPr>
            <w:tcW w:w="1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pacing w:val="-10"/>
                <w:sz w:val="18"/>
                <w:szCs w:val="18"/>
              </w:rPr>
            </w:pPr>
          </w:p>
        </w:tc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pacing w:val="-10"/>
                <w:sz w:val="18"/>
                <w:szCs w:val="18"/>
              </w:rPr>
            </w:pPr>
          </w:p>
        </w:tc>
        <w:tc>
          <w:tcPr>
            <w:tcW w:w="2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  <w:t>первые сутки</w:t>
            </w:r>
          </w:p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  <w:t>вторые сутки</w:t>
            </w:r>
          </w:p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eastAsia="ru-RU"/>
              </w:rPr>
              <w:t>последующие сутки</w:t>
            </w:r>
          </w:p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z w:val="18"/>
                <w:szCs w:val="18"/>
              </w:rPr>
            </w:pPr>
          </w:p>
        </w:tc>
      </w:tr>
      <w:tr w:rsidR="00817E2C">
        <w:trPr>
          <w:trHeight w:hRule="exact" w:val="355"/>
          <w:tblHeader/>
        </w:trPr>
        <w:tc>
          <w:tcPr>
            <w:tcW w:w="4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pacing w:val="-10"/>
                <w:sz w:val="18"/>
                <w:szCs w:val="18"/>
              </w:rPr>
            </w:pPr>
          </w:p>
        </w:tc>
        <w:tc>
          <w:tcPr>
            <w:tcW w:w="1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pacing w:val="-10"/>
                <w:sz w:val="18"/>
                <w:szCs w:val="18"/>
              </w:rPr>
            </w:pPr>
          </w:p>
        </w:tc>
        <w:tc>
          <w:tcPr>
            <w:tcW w:w="1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pacing w:val="-10"/>
                <w:sz w:val="18"/>
                <w:szCs w:val="18"/>
              </w:rPr>
            </w:pPr>
          </w:p>
        </w:tc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pacing w:val="-10"/>
                <w:sz w:val="18"/>
                <w:szCs w:val="18"/>
              </w:rPr>
            </w:pPr>
          </w:p>
        </w:tc>
        <w:tc>
          <w:tcPr>
            <w:tcW w:w="1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  <w:t>минуты</w:t>
            </w:r>
          </w:p>
        </w:tc>
        <w:tc>
          <w:tcPr>
            <w:tcW w:w="1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  <w:t>часы</w:t>
            </w:r>
          </w:p>
        </w:tc>
        <w:tc>
          <w:tcPr>
            <w:tcW w:w="1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8"/>
                <w:szCs w:val="18"/>
                <w:lang w:eastAsia="ru-RU"/>
              </w:rPr>
              <w:t>часы</w:t>
            </w:r>
          </w:p>
        </w:tc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z w:val="18"/>
                <w:szCs w:val="18"/>
              </w:rPr>
            </w:pPr>
          </w:p>
        </w:tc>
      </w:tr>
      <w:tr w:rsidR="00817E2C">
        <w:trPr>
          <w:trHeight w:hRule="exact" w:val="254"/>
          <w:tblHeader/>
        </w:trPr>
        <w:tc>
          <w:tcPr>
            <w:tcW w:w="4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pacing w:val="-10"/>
                <w:sz w:val="18"/>
                <w:szCs w:val="18"/>
              </w:rPr>
            </w:pPr>
          </w:p>
        </w:tc>
        <w:tc>
          <w:tcPr>
            <w:tcW w:w="1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pacing w:val="-10"/>
                <w:sz w:val="18"/>
                <w:szCs w:val="18"/>
              </w:rPr>
            </w:pPr>
          </w:p>
        </w:tc>
        <w:tc>
          <w:tcPr>
            <w:tcW w:w="1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pacing w:val="-10"/>
                <w:sz w:val="18"/>
                <w:szCs w:val="18"/>
              </w:rPr>
            </w:pPr>
          </w:p>
        </w:tc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pacing w:val="-10"/>
                <w:sz w:val="18"/>
                <w:szCs w:val="18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18"/>
                <w:szCs w:val="18"/>
                <w:lang w:eastAsia="ru-RU"/>
              </w:rPr>
              <w:t>…24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rPr>
                <w:sz w:val="18"/>
                <w:szCs w:val="18"/>
              </w:rPr>
            </w:pPr>
          </w:p>
        </w:tc>
      </w:tr>
      <w:tr w:rsidR="00817E2C">
        <w:trPr>
          <w:trHeight w:hRule="exact" w:val="260"/>
          <w:tblHeader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ind w:left="-211" w:right="-168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817E2C">
        <w:trPr>
          <w:trHeight w:hRule="exact" w:val="416"/>
        </w:trPr>
        <w:tc>
          <w:tcPr>
            <w:tcW w:w="999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I. Ведение ГО </w:t>
            </w:r>
          </w:p>
        </w:tc>
      </w:tr>
    </w:tbl>
    <w:p w:rsidR="00817E2C" w:rsidRDefault="00817E2C">
      <w:pPr>
        <w:widowControl w:val="0"/>
        <w:spacing w:after="0" w:line="367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74" w:lineRule="auto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с вопросами защиты ОПФ должны найти отражение и другие мероприятия обеспечения устойчивого функционирования организации, предусмотренные Положением о ГО в РФ и Положением о ГО в 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организациях, такие как: организация работы в военное время КПУФ организации; вопросы рационального размещения инфраструктуры, а также средств производства в соответствии с требованиями сводов правил осуществления ИТМ ГО;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разработка и проведение мероприятий, направленных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повышение надежности функционирования систем и источников газ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 водоснабжения; создание запасов материально-технических и иных средств, необходимых для сохранения производственного процесса.</w:t>
      </w:r>
    </w:p>
    <w:p w:rsidR="00817E2C" w:rsidRDefault="00B7115B">
      <w:pPr>
        <w:widowControl w:val="0"/>
        <w:spacing w:after="0" w:line="379" w:lineRule="auto"/>
        <w:ind w:firstLine="709"/>
        <w:jc w:val="both"/>
        <w:rPr>
          <w:spacing w:val="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При планировании сил для выполнения задач по защиты ОПФ следует учитывать, что одновременно в те же сроки часть персонала будет выполнять иные мероприятия ГО, спланированные на военное время согласно возможной обстановке. Таким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образом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необходимо рационально и качественно спланировать мероприятия при минимально возможном количестве задействованных работников НРС.</w:t>
      </w:r>
    </w:p>
    <w:p w:rsidR="00817E2C" w:rsidRDefault="00B7115B">
      <w:pPr>
        <w:widowControl w:val="0"/>
        <w:spacing w:after="0" w:line="37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 структуры плана (приложения к плану ГО организации) наращивания мероприятий по ПУФ организации при военном конфликте представлен в таблице 9.</w:t>
      </w:r>
    </w:p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9. Вариант структуры плана (приложения к плану ГО организации) наращивания мероприятий по ПУФ организации при военном конфликте</w:t>
      </w:r>
    </w:p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97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7"/>
        <w:gridCol w:w="2810"/>
        <w:gridCol w:w="1525"/>
        <w:gridCol w:w="1331"/>
        <w:gridCol w:w="2323"/>
        <w:gridCol w:w="1276"/>
      </w:tblGrid>
      <w:tr w:rsidR="00817E2C">
        <w:trPr>
          <w:tblHeader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0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pacing w:val="-1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pacing w:val="-10"/>
              </w:rPr>
              <w:t>/п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0"/>
              </w:rPr>
              <w:t>Наименование проводимых мероприятий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0"/>
              </w:rPr>
              <w:t>Объем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ind w:right="-97" w:hanging="105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0"/>
              </w:rPr>
              <w:t>Сроки выполнения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0"/>
              </w:rPr>
              <w:t>Материально-техническое обеспечение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ind w:right="-132" w:hanging="188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0"/>
              </w:rPr>
              <w:t>Исполнители</w:t>
            </w:r>
          </w:p>
        </w:tc>
      </w:tr>
      <w:tr w:rsidR="00817E2C">
        <w:trPr>
          <w:tblHeader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1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0"/>
              </w:rPr>
              <w:t>1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10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0"/>
              </w:rPr>
              <w:t>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10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0"/>
              </w:rPr>
              <w:t>3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ind w:right="-97" w:hanging="105"/>
              <w:jc w:val="center"/>
              <w:rPr>
                <w:rFonts w:ascii="Times New Roman" w:hAnsi="Times New Roman" w:cs="Times New Roman"/>
                <w:b/>
                <w:color w:val="000000"/>
                <w:spacing w:val="-10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0"/>
              </w:rPr>
              <w:t>4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10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ind w:right="-132" w:hanging="188"/>
              <w:jc w:val="center"/>
              <w:rPr>
                <w:rFonts w:ascii="Times New Roman" w:hAnsi="Times New Roman" w:cs="Times New Roman"/>
                <w:b/>
                <w:color w:val="000000"/>
                <w:spacing w:val="-10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0"/>
              </w:rPr>
              <w:t>6</w:t>
            </w:r>
          </w:p>
        </w:tc>
      </w:tr>
      <w:tr w:rsidR="00817E2C">
        <w:trPr>
          <w:trHeight w:val="219"/>
        </w:trPr>
        <w:tc>
          <w:tcPr>
            <w:tcW w:w="97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1.Организационные мероприятия</w:t>
            </w:r>
          </w:p>
        </w:tc>
      </w:tr>
      <w:tr w:rsidR="00817E2C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</w:tr>
      <w:tr w:rsidR="00817E2C">
        <w:trPr>
          <w:trHeight w:val="227"/>
        </w:trPr>
        <w:tc>
          <w:tcPr>
            <w:tcW w:w="97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2. ИТМ</w:t>
            </w:r>
          </w:p>
        </w:tc>
      </w:tr>
      <w:tr w:rsidR="00817E2C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</w:rPr>
              <w:t>2.1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Защита хранилищ ЛВЖ,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пожаро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-взрывоопасных веществ, ОХВ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ind w:right="-124" w:hanging="108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Габионы ГНТ-1, </w:t>
            </w:r>
          </w:p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ГНТ-2, комплекты водоналивных дамб; погрузчик ковшовый, самосвал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</w:tr>
      <w:tr w:rsidR="00817E2C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</w:rPr>
              <w:t>2.2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spacing w:val="-10"/>
                <w:kern w:val="2"/>
                <w:sz w:val="24"/>
                <w:szCs w:val="24"/>
              </w:rPr>
              <w:t>Защита высоких неустойчивых сооружений и установок на открытых площадках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ind w:right="-96" w:hanging="108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. крановое оборудование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Тросовые растяжки, карабины, стропы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</w:tr>
      <w:tr w:rsidR="00817E2C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</w:rPr>
              <w:t>2.3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spacing w:val="-10"/>
                <w:kern w:val="2"/>
                <w:sz w:val="24"/>
                <w:szCs w:val="24"/>
              </w:rPr>
              <w:t>Защита оборудования внутри производственных зданий и сооружений от обломков ограждающих конструкций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ind w:right="-96" w:hanging="108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Типов, единиц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Металломаты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, пластические коробчатые </w:t>
            </w:r>
          </w:p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защитные конструкции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</w:tr>
      <w:tr w:rsidR="00817E2C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</w:rPr>
              <w:t>2.4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Защита систем инженерно-технического обеспечения и сетей КЭХ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ind w:right="-146" w:hanging="157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Мешки с песком, габионы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грунтонаполненные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</w:tr>
      <w:tr w:rsidR="00817E2C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</w:rPr>
              <w:t>2.5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Защита уникального, 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lastRenderedPageBreak/>
              <w:t>неремонтопригодного, опасного, высокоточного оборудования и ОПФ непрерывных производств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Металломаты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, мешки 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lastRenderedPageBreak/>
              <w:t xml:space="preserve">с песком, габионы,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мелкощитовая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модульная опалубка для стен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</w:tr>
      <w:tr w:rsidR="00817E2C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</w:rPr>
              <w:lastRenderedPageBreak/>
              <w:t>2.6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Мероприятия по предупреждению прогрессирующего разрушения зданий и сооружений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Противообвальные устройства, защитные вантовые устройства;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мелкощитовая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модульная опалубка для стен и колонн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</w:tr>
      <w:tr w:rsidR="00817E2C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</w:rPr>
              <w:t>2.7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Защита производственного транспорта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Оборудование защищенных стоянок, площадок и боксов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</w:tr>
      <w:tr w:rsidR="00817E2C">
        <w:trPr>
          <w:trHeight w:val="109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</w:rPr>
              <w:t>2.8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Противопожарная защита опасных производств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В соответствии с требованиями пожарной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</w:tr>
      <w:tr w:rsidR="00817E2C">
        <w:tc>
          <w:tcPr>
            <w:tcW w:w="97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B7115B">
            <w:pPr>
              <w:widowControl w:val="0"/>
              <w:spacing w:after="0" w:line="240" w:lineRule="auto"/>
              <w:jc w:val="center"/>
              <w:rPr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3. Технологические мероприятия</w:t>
            </w:r>
          </w:p>
        </w:tc>
      </w:tr>
      <w:tr w:rsidR="00817E2C">
        <w:trPr>
          <w:trHeight w:val="7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E2C" w:rsidRDefault="00817E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</w:p>
        </w:tc>
      </w:tr>
    </w:tbl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17E2C" w:rsidRDefault="00817E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плана является произвольной. С целью контроля выполнения мероприятий рекомендуется разделение структуры плана по основным подразделениям (производствам, службам, цехам, отделам вплоть до участков). План может иметь сложную структуру в соответствии с практической значимостью как инструмент выполнения задачи ГО.</w:t>
      </w:r>
    </w:p>
    <w:p w:rsidR="00817E2C" w:rsidRDefault="00B7115B">
      <w:pPr>
        <w:widowControl w:val="0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утверждается руководителем организации. Выписки из плана должны быть у исполнителей.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spacing w:val="-2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Планом предусматривается параллельное выполнение работ по защите ОПФ.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планирующего документа в виде план-графика позволяет:</w:t>
      </w:r>
    </w:p>
    <w:p w:rsidR="00817E2C" w:rsidRDefault="00B7115B">
      <w:pPr>
        <w:pStyle w:val="aff6"/>
        <w:tabs>
          <w:tab w:val="left" w:pos="1134"/>
        </w:tabs>
        <w:spacing w:line="360" w:lineRule="auto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увидеть весь объем ИТМ защиты;</w:t>
      </w:r>
    </w:p>
    <w:p w:rsidR="00817E2C" w:rsidRDefault="00B7115B">
      <w:pPr>
        <w:pStyle w:val="aff6"/>
        <w:tabs>
          <w:tab w:val="left" w:pos="1134"/>
        </w:tabs>
        <w:spacing w:line="360" w:lineRule="auto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обеспечить четкое распределение задач исполнителям;</w:t>
      </w:r>
    </w:p>
    <w:p w:rsidR="00817E2C" w:rsidRDefault="00B7115B">
      <w:pPr>
        <w:pStyle w:val="aff6"/>
        <w:tabs>
          <w:tab w:val="left" w:pos="1134"/>
        </w:tabs>
        <w:spacing w:line="360" w:lineRule="auto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осуществлять контроль исполнения;</w:t>
      </w:r>
    </w:p>
    <w:p w:rsidR="00817E2C" w:rsidRDefault="00B7115B">
      <w:pPr>
        <w:pStyle w:val="aff6"/>
        <w:tabs>
          <w:tab w:val="left" w:pos="1134"/>
        </w:tabs>
        <w:spacing w:line="360" w:lineRule="auto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предупредить планирование одних и тех же сил к выполнению разных задач в одно и то же время.</w:t>
      </w:r>
    </w:p>
    <w:p w:rsidR="00817E2C" w:rsidRDefault="00B7115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Плановый документ для исполнителя является инструментом                              для достижения цели защиты ОПФ организации при военном конфликте. </w:t>
      </w:r>
    </w:p>
    <w:p w:rsidR="00817E2C" w:rsidRDefault="00817E2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9. ФИНАНСИРОВАНИЕ МЕРОПРИЯТИЙ ПО ЗАЩИТЕ ОСНОВНЫХ ПРОИЗВОДСТВЕННЫХ ФОНДОВ ОРГАНИЗАЦИЙ, НЕОБХОДИМЫХ ДЛЯ ВЫЖИВАНИЯ НАСЕЛЕНИЯ ПРИ ВОЕННЫХ КОНФЛИКТАХ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ИЛИ ВСЛЕДСТВИЕ ЭТИХ КОНФЛИКТОВ</w:t>
      </w:r>
    </w:p>
    <w:p w:rsidR="00817E2C" w:rsidRDefault="00817E2C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законодательством РФ финансирование мероприятий, возникающих в связи с решением вопросов, связанных с ПУФ организаций, необходимых для выживания населения при военных конфликтах и (или) вследствие этих конфликтов, исполняются за счет средств организаций.</w:t>
      </w:r>
    </w:p>
    <w:p w:rsidR="00817E2C" w:rsidRDefault="00B7115B">
      <w:pPr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Финансирование мероприятий по поддержке и ПУФ организаций, необходимых для выживания населения при военных конфликтах                                      и подведомственных ИО СРФ и ОМСУ, осуществляется за счет средств соответствующих бюджетов.</w:t>
      </w:r>
    </w:p>
    <w:p w:rsidR="00817E2C" w:rsidRDefault="00B7115B">
      <w:pPr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Финансирование мероприятий по ПУФ организаций, эксплуатирующих объекты, необходимые для выживания населения при военных конфликтах, осуществляется за счет доходной части бюджета организаций. В частности,              это касается ИТМ обеспечения пожарной безопасности, физической защиты ОПФ от внешних воздействий и от последствий этих воздействий. </w:t>
      </w:r>
    </w:p>
    <w:p w:rsidR="00817E2C" w:rsidRDefault="00B7115B">
      <w:pPr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финансирования определяется самой организацией и ограничивается условиями обязательного обеспечения финансовой стабильности и экономической безопасности организации.</w:t>
      </w:r>
    </w:p>
    <w:p w:rsidR="00817E2C" w:rsidRDefault="00B7115B">
      <w:pPr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Арендодатели помещений для организаций, необходимых для выживания населения в условиях введенного военного положения, могут быть привлечены                 к защите принадлежащих им фондов.</w:t>
      </w:r>
    </w:p>
    <w:p w:rsidR="00817E2C" w:rsidRDefault="00B7115B">
      <w:pPr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Финансирование мероприятий по обеспечению надежности технологического оборудования, строений и систем КЭХ объектов предусмотрено амортизационными и коммунальными отчислениями эксплуатирующих организаций, а также отчислениями на содержание зданий и сооружений.                 Эти расходы – составная часть себестоимости работ (товаров, услуг).</w:t>
      </w:r>
    </w:p>
    <w:p w:rsidR="00817E2C" w:rsidRDefault="00B7115B">
      <w:pPr>
        <w:widowControl w:val="0"/>
        <w:spacing w:after="0" w:line="3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Часть мероприятий может быть учтена в проектно-сметной документации при расширении предприятия, реконструкции и модернизации в разделе «Мероприятия гражданской обороны». 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Организационные мероприятия планируются заблаговременно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организациях и, как правило, не требуют дополнительного финансирования.</w:t>
      </w:r>
    </w:p>
    <w:p w:rsidR="00817E2C" w:rsidRDefault="00817E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10. ТЕХНИКО-ЭКОНОМИЧЕСКАЯ ЭФФЕКТИВНОСТЬ ЗАЩИТЫ ОСНОВНЫХ ПРОИЗВОДСТВЕННЫХ ФОНДОВ ОРГАНИЗАЦИЙ</w:t>
      </w:r>
    </w:p>
    <w:p w:rsidR="00817E2C" w:rsidRDefault="00817E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Целесообразность мероприятий по защите ОПФ определяется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технико-экономической эффективностью. При определении эффективности принимаемых способов и средств защиты за основу принимается стоимость ОПФ, стоимость изготовления и установки защитных устройств, стоимость восстановления незащищенных и защищенных ОПФ.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Экономический эффект мероприятия по защите ОПФ определяется                    по формуле:</w:t>
      </w:r>
      <w:r>
        <w:rPr>
          <w:lang w:eastAsia="ru-RU"/>
        </w:rPr>
        <w:t xml:space="preserve"> </w:t>
      </w:r>
    </w:p>
    <w:p w:rsidR="00817E2C" w:rsidRDefault="00B7115B">
      <w:pPr>
        <w:spacing w:after="0" w:line="360" w:lineRule="auto"/>
        <w:ind w:firstLine="709"/>
        <w:jc w:val="right"/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Э = (В - </w:t>
      </w:r>
      <w:r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vertAlign w:val="subscript"/>
          <w:lang w:eastAsia="ru-RU"/>
        </w:rPr>
        <w:t>М</w:t>
      </w:r>
      <w:r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М –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                                         (1)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ориентировочные затраты на восстановление оборудования                     без осуществления мероприятий по защите оборудования, тыс. руб.;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       В</w:t>
      </w:r>
      <w:r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vertAlign w:val="subscript"/>
          <w:lang w:eastAsia="ru-RU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– ориентировочные затраты на восстановление оборудования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br/>
        <w:t>с заблаговременным осуществлением мероприятий по защите оборудования, тыс. руб.;</w:t>
      </w: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затраты на осуществление мероприятий по защите оборудования,               тыс. руб.;</w:t>
      </w:r>
    </w:p>
    <w:p w:rsidR="00817E2C" w:rsidRDefault="00B7115B">
      <w:pPr>
        <w:spacing w:after="0" w:line="360" w:lineRule="auto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затраты на проведение работ по разборке завалов. </w:t>
      </w:r>
    </w:p>
    <w:p w:rsidR="00817E2C" w:rsidRDefault="00817E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Пример:</w:t>
      </w: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осуществления мероприятий при заданном значении давления во фронте ударной волны расчетами определялось, что выходило из строя оборудование,               на восстановление которого необходимо затратить 800 тыс. руб.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800).</w:t>
      </w: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защиты этого оборудования планируется провести мероприятия стоимостью 260 тыс. руб.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</w:t>
      </w:r>
      <w:r>
        <w:rPr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260).</w:t>
      </w: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проведения мероприятий по защите при тех же условиях (заданных значениях Δ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 восстановление потребуются затраты в сумме 200 тыс. руб.              (</w:t>
      </w:r>
      <w:r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vertAlign w:val="subscript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200), тогда условный экономический эффект от внедрения определенных мероприятий по защите технологического оборудования в цехе составляет                340 тыс. руб.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Затраты на проведение неотложных аварийно-восстановительных работ составят 140 тыс. руб., тогда экономический эффект составит:</w:t>
      </w:r>
    </w:p>
    <w:p w:rsidR="00817E2C" w:rsidRDefault="00B7115B">
      <w:pPr>
        <w:spacing w:after="0" w:line="360" w:lineRule="auto"/>
        <w:ind w:firstLine="709"/>
        <w:jc w:val="right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(800 – 200) – 260 – 140 = 200                                   (2)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Примечание.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пособствуя защите технологического оборудования, использованные средства, как правило, осложняют проведение аварийно-восстановительных работ и увеличивают их объем. Следовательно, увеличиваются и затраты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на ведение АСДНР.</w:t>
      </w:r>
    </w:p>
    <w:p w:rsidR="00817E2C" w:rsidRDefault="00817E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E2C" w:rsidRDefault="00B711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Представленные в Методических рекомендациях подходы к планированию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организации мероприятий ГО по ПУФ ОПФ организаций не являются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исчерпывающими, но позволяют определить объем, последовательность, состав работ и распределить задачи среди исполнителей. Часть мероприятий решаются комплексно с другими задачами ГО.</w:t>
      </w:r>
    </w:p>
    <w:p w:rsidR="00817E2C" w:rsidRDefault="00B711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мероприятий и решение по защите утверждаются руководителем организации.</w:t>
      </w:r>
    </w:p>
    <w:p w:rsidR="00817E2C" w:rsidRDefault="00B7115B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возможно значительное снижение ущерба предприятию (учреждению, организации) при внешних воздействиях. Защита ОПФ способствует быстрому восстановлению объектов экономики при воздействии противника, обеспечивает их устойчивое функционирование, безопасность персонала организаций и близлежащего населения при военных конфликтах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или вследствие этих конфликтов.</w:t>
      </w:r>
    </w:p>
    <w:p w:rsidR="00817E2C" w:rsidRDefault="00817E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7E2C" w:rsidRDefault="00817E2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7E2C" w:rsidRDefault="00B7115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ИСПОЛЬЗОВАННЫХ ИСТОЧНИКОВ</w:t>
      </w:r>
    </w:p>
    <w:p w:rsidR="00817E2C" w:rsidRDefault="00817E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2C" w:rsidRDefault="00B7115B">
      <w:pPr>
        <w:tabs>
          <w:tab w:val="left" w:pos="96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ФКЗ от 30 января 2002 г. № 1-ФКЗ «О военном положении».</w:t>
      </w:r>
    </w:p>
    <w:p w:rsidR="00817E2C" w:rsidRDefault="00B7115B">
      <w:pPr>
        <w:tabs>
          <w:tab w:val="left" w:pos="968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ФКЗ от 30 мая 2001 г. № 3-ФКЗ «О чрезвычайном положении».</w:t>
      </w:r>
    </w:p>
    <w:p w:rsidR="00817E2C" w:rsidRDefault="00B7115B">
      <w:pPr>
        <w:tabs>
          <w:tab w:val="left" w:pos="968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ФЗ от 12 февраля 1998 г. № 28-ФЗ «О гражданской обороне».</w:t>
      </w:r>
    </w:p>
    <w:p w:rsidR="00817E2C" w:rsidRDefault="00B7115B">
      <w:pPr>
        <w:tabs>
          <w:tab w:val="left" w:pos="968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ФЗ от 21 июля 1997 г. № 116-ФЗ «О промышленной безопасности опасных производственных объектов».</w:t>
      </w:r>
    </w:p>
    <w:p w:rsidR="00817E2C" w:rsidRDefault="00B7115B">
      <w:pPr>
        <w:tabs>
          <w:tab w:val="left" w:pos="968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ФЗ от 21 июля 1997 г. № 117-ФЗ «О безопасности гидротехнических сооружений».</w:t>
      </w:r>
    </w:p>
    <w:p w:rsidR="00817E2C" w:rsidRDefault="00B7115B">
      <w:pPr>
        <w:tabs>
          <w:tab w:val="left" w:pos="968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Градостроительный кодекс РФ от 29 декабря 2004 г. № 190-ФЗ.</w:t>
      </w:r>
    </w:p>
    <w:p w:rsidR="00817E2C" w:rsidRDefault="00B7115B">
      <w:pPr>
        <w:tabs>
          <w:tab w:val="left" w:pos="968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ФЗ от 30 декабря 2009 г. № 384-ФЗ «Технический регламент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 безопасности зданий и сооружений».</w:t>
      </w:r>
    </w:p>
    <w:p w:rsidR="00817E2C" w:rsidRDefault="00B7115B">
      <w:pPr>
        <w:tabs>
          <w:tab w:val="left" w:pos="968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ФЗ от 7 декабря 2011 г. № 416-ФЗ «О водоснабжении и водоотведении».</w:t>
      </w:r>
    </w:p>
    <w:p w:rsidR="00817E2C" w:rsidRDefault="00B7115B">
      <w:pPr>
        <w:tabs>
          <w:tab w:val="left" w:pos="968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ФЗ от 31 марта 1999 г. № 69 «О газоснабжении в Российской Федерации».</w:t>
      </w:r>
    </w:p>
    <w:p w:rsidR="00817E2C" w:rsidRDefault="00B7115B">
      <w:pPr>
        <w:tabs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Указ Президента РФ от 20 декабря 2016 г. № 696 «Об утверждении Основ государственной политики Российской Федерации в области гражданской обороны на период до 2030 года».</w:t>
      </w:r>
    </w:p>
    <w:p w:rsidR="00817E2C" w:rsidRDefault="00B7115B">
      <w:pPr>
        <w:tabs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Постановление Правительства РФ от 26 ноября 2007 г. № 804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утверждении Положения о гражданской обороне в Российской Федерации».</w:t>
      </w:r>
    </w:p>
    <w:p w:rsidR="00817E2C" w:rsidRDefault="00B7115B">
      <w:pPr>
        <w:tabs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Постановление Правительства РФ от 30 декабря 2003 г. № 794 «О единой государственной системе предупреждения и ликвидации чрезвычайных ситуаций».</w:t>
      </w:r>
    </w:p>
    <w:p w:rsidR="00817E2C" w:rsidRDefault="00B7115B">
      <w:pPr>
        <w:tabs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Постановление Правительства РФ от 16 августа 2016 г. № 804                           «Об утверждении Правил отнесения организаций к категориям по гражданской обороне в зависимости от роли в экономике государства или влияния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безопасность населения». </w:t>
      </w:r>
    </w:p>
    <w:p w:rsidR="00817E2C" w:rsidRDefault="00B7115B">
      <w:pPr>
        <w:tabs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Приказ МЧС России от 14 ноября 2008 г. № 687 «Об утверждении Положения об организации и ведении гражданской обороны в муниципальных образованиях и организациях» (зарегистрировано Министерством юстиции РФ          26 ноября 2008 г. № 12740).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Приказ МЧС России от 27 марта 2020 г. № 216 «Об утверждении порядка разработки, согласования и утверждения планов гражданской обороны и защиты населения (планов гражданской обороны)».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16. СП 18.13330.2019. Производственные объекты. Планировочная организация земельного участка» (СНиП II-89-80* «Генеральные планы промышленных предприятий»).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СП 31.13330.2012. Водоснабжение. Наружные сети и сооружения. Актуализированная редакция СНиП 2.04.02-84.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СП 51.13330.2011. Защита от шума. Актуализированная версия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СНиП 23-03-2003. 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СП 54.13330.2016. Здания жилые многоквартирные. Актуализированная редакция СНиП 31-01-2003».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20.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ab/>
        <w:t xml:space="preserve">СП 58.13330.2019. Гидротехнические сооружения. Основные положения. 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СП 62.13330.2011*. Газораспределительные системы. Актуализированная редакция СНиП 42-01-2002.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 СП 88.13330.2022. Защитные сооружения гражданской обороны. Актуализированная редакция СНиП II-11-77*.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СП 116.13330.2012. Инженерная защита территорий, зданий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сооружений от опасных геологических процессов. Основные положения. Актуализированная редакция СНиП 22-02-2003.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СП 118.13330.2012. Общественные здания и сооружения. Актуализированная редакция СНиП 31-06-2009.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СП 124.13330.2012. Тепловые сети. Актуализированная редакция СНиП 41-02-2003.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СП 125.13330.2012. Нефтепродуктопроводы, прокладываемые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территории городов и других населенных пунктов. Актуализированная редакция СНиП 2.05.13-90.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СП 42.13330.2016. Градостроительство. Планировка и застройка городских и сельских поселений. Актуализированная редакция СНиП 2.07.01-89*.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СП 165.1325800.2014. Инженерно-технические мероприятия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гражданской обороне. Актуализированная редакция СНиП 2.01.51-90.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29.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 264.1325800.2016. Световая маскировка населенных пунктов                            и объектов народного хозяйства. Актуализированная редакция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СНиП 2.01.53-84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30. </w:t>
      </w:r>
      <w:hyperlink r:id="rId21" w:tgtFrame="_blank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СП 296.1325800.2017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Здания и сооружения. Особые воздействия.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31.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 385.1325800.2018. Защита зданий и сооружений от прогрессирующего обрушения.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СанПиН 2.1.4.1110-02. Зоны санитарной охраны источников водоснабжения и водопроводов питьевого назначения.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33. </w:t>
      </w:r>
      <w:r>
        <w:rPr>
          <w:rFonts w:ascii="Times New Roman" w:hAnsi="Times New Roman" w:cs="Times New Roman"/>
          <w:color w:val="000000"/>
          <w:sz w:val="28"/>
        </w:rPr>
        <w:t xml:space="preserve">ГОСТ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</w:rPr>
        <w:t xml:space="preserve"> 22.2.12-2020. Безопасность в чрезвычайных ситуациях. Повышение устойчивости функционирования организаций в чрезвычайных ситуациях. Основные положения.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</w:rPr>
        <w:t xml:space="preserve">34.  </w:t>
      </w:r>
      <w:r>
        <w:rPr>
          <w:rFonts w:ascii="Times New Roman" w:hAnsi="Times New Roman" w:cs="Times New Roman"/>
          <w:color w:val="000000"/>
          <w:sz w:val="28"/>
          <w:szCs w:val="28"/>
        </w:rPr>
        <w:t>ГОСТ 30826-2014. Стекло многослойное. Технические условия.</w:t>
      </w:r>
    </w:p>
    <w:p w:rsidR="00817E2C" w:rsidRDefault="00B7115B">
      <w:pPr>
        <w:tabs>
          <w:tab w:val="left" w:pos="1134"/>
          <w:tab w:val="left" w:pos="1276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35.  ГОСТ 32566-2013. Стекло и изделия из него. Метод испытаний                    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пулестойкость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36.  </w:t>
      </w:r>
      <w:r>
        <w:rPr>
          <w:rFonts w:ascii="Times New Roman" w:hAnsi="Times New Roman" w:cs="Times New Roman"/>
          <w:bCs/>
          <w:color w:val="000000"/>
          <w:sz w:val="28"/>
          <w:szCs w:val="27"/>
        </w:rPr>
        <w:t>ГОСТ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7"/>
        </w:rPr>
        <w:t>34286</w:t>
      </w:r>
      <w:r>
        <w:rPr>
          <w:rFonts w:ascii="Times New Roman" w:hAnsi="Times New Roman" w:cs="Times New Roman"/>
          <w:color w:val="000000"/>
          <w:sz w:val="28"/>
          <w:szCs w:val="27"/>
        </w:rPr>
        <w:t>-</w:t>
      </w:r>
      <w:r>
        <w:rPr>
          <w:rFonts w:ascii="Times New Roman" w:hAnsi="Times New Roman" w:cs="Times New Roman"/>
          <w:bCs/>
          <w:color w:val="000000"/>
          <w:sz w:val="28"/>
          <w:szCs w:val="27"/>
        </w:rPr>
        <w:t xml:space="preserve">2017.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7"/>
        </w:rPr>
        <w:t>Бронеодежда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7"/>
        </w:rPr>
        <w:t>. Классификация и общие технические требования.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Cs/>
          <w:color w:val="000000"/>
          <w:sz w:val="28"/>
          <w:szCs w:val="27"/>
        </w:rPr>
        <w:t xml:space="preserve">37. ГОСТ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7"/>
        </w:rPr>
        <w:t>Р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7"/>
        </w:rPr>
        <w:t xml:space="preserve"> 51112-97. Средства защитные банковские. Требования                       по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7"/>
        </w:rPr>
        <w:t>пулестойкости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7"/>
        </w:rPr>
        <w:t xml:space="preserve"> и методы испытаний.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38. ГОСТ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55201-2012. Безопасность в чрезвычайных ситуациях. Порядок разработки перечня мероприятий по гражданской обороне, мероприятий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предупреждению чрезвычайных ситуаций природного и техногенного характера при проектировании объектов капитального строительства.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ГОСТ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22.0.02-2016. Безопасность в чрезвычайных ситуациях. Термины и определения.</w:t>
      </w:r>
    </w:p>
    <w:p w:rsidR="00817E2C" w:rsidRDefault="00B7115B">
      <w:pPr>
        <w:tabs>
          <w:tab w:val="left" w:pos="968"/>
          <w:tab w:val="left" w:pos="1134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40.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ГОСТ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22.3.05-2022. Безопасность в чрезвычайных ситуациях. Первоочередное жизнеобеспечение пострадавшего населения. Термины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 определения.</w:t>
      </w:r>
    </w:p>
    <w:sectPr w:rsidR="00817E2C">
      <w:headerReference w:type="default" r:id="rId22"/>
      <w:footerReference w:type="default" r:id="rId23"/>
      <w:pgSz w:w="11906" w:h="16838"/>
      <w:pgMar w:top="1134" w:right="566" w:bottom="706" w:left="1418" w:header="709" w:footer="649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771" w:rsidRDefault="00FA0771">
      <w:pPr>
        <w:spacing w:after="0" w:line="240" w:lineRule="auto"/>
      </w:pPr>
      <w:r>
        <w:separator/>
      </w:r>
    </w:p>
  </w:endnote>
  <w:endnote w:type="continuationSeparator" w:id="0">
    <w:p w:rsidR="00FA0771" w:rsidRDefault="00FA0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T Astra Serif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">
    <w:panose1 w:val="02020603050405020304"/>
    <w:charset w:val="CC"/>
    <w:family w:val="roman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E2C" w:rsidRDefault="00817E2C">
    <w:pPr>
      <w:pStyle w:val="afa"/>
      <w:jc w:val="center"/>
    </w:pPr>
  </w:p>
  <w:p w:rsidR="00817E2C" w:rsidRDefault="00817E2C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771" w:rsidRDefault="00FA0771">
      <w:pPr>
        <w:spacing w:after="0" w:line="240" w:lineRule="auto"/>
      </w:pPr>
      <w:r>
        <w:separator/>
      </w:r>
    </w:p>
  </w:footnote>
  <w:footnote w:type="continuationSeparator" w:id="0">
    <w:p w:rsidR="00FA0771" w:rsidRDefault="00FA0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E2C" w:rsidRDefault="00817E2C">
    <w:pPr>
      <w:pStyle w:val="afd"/>
      <w:jc w:val="center"/>
    </w:pPr>
  </w:p>
  <w:p w:rsidR="00817E2C" w:rsidRDefault="00817E2C">
    <w:pPr>
      <w:pStyle w:val="af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E2C" w:rsidRDefault="00B7115B">
    <w:pPr>
      <w:pStyle w:val="afd"/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AE0CE4">
      <w:rPr>
        <w:noProof/>
        <w:sz w:val="24"/>
        <w:szCs w:val="24"/>
      </w:rPr>
      <w:t>19</w:t>
    </w:r>
    <w:r>
      <w:rPr>
        <w:sz w:val="24"/>
        <w:szCs w:val="24"/>
      </w:rPr>
      <w:fldChar w:fldCharType="end"/>
    </w:r>
  </w:p>
  <w:p w:rsidR="00817E2C" w:rsidRDefault="00817E2C">
    <w:pPr>
      <w:pStyle w:val="af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E2C"/>
    <w:rsid w:val="00817E2C"/>
    <w:rsid w:val="00AE0CE4"/>
    <w:rsid w:val="00B7115B"/>
    <w:rsid w:val="00CD4E1B"/>
    <w:rsid w:val="00FA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qFormat/>
    <w:pPr>
      <w:keepNext/>
      <w:widowControl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ru-RU"/>
    </w:rPr>
  </w:style>
  <w:style w:type="paragraph" w:styleId="2">
    <w:name w:val="heading 2"/>
    <w:basedOn w:val="a"/>
    <w:next w:val="a"/>
    <w:qFormat/>
    <w:pPr>
      <w:keepNext/>
      <w:widowControl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pPr>
      <w:keepNext/>
      <w:widowControl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qFormat/>
    <w:pPr>
      <w:keepNext/>
      <w:widowControl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pPr>
      <w:widowControl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qFormat/>
    <w:pPr>
      <w:keepNext/>
      <w:shd w:val="clear" w:color="auto" w:fill="FFFFFF"/>
      <w:spacing w:after="0" w:line="240" w:lineRule="auto"/>
      <w:ind w:right="51"/>
      <w:jc w:val="center"/>
      <w:outlineLvl w:val="5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7">
    <w:name w:val="heading 7"/>
    <w:basedOn w:val="a"/>
    <w:next w:val="a"/>
    <w:qFormat/>
    <w:pPr>
      <w:widowControl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qFormat/>
    <w:pPr>
      <w:widowControl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qFormat/>
    <w:pPr>
      <w:widowControl w:val="0"/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qFormat/>
    <w:rPr>
      <w:rFonts w:ascii="Arial" w:eastAsia="Times New Roman" w:hAnsi="Arial" w:cs="Arial"/>
      <w:b/>
      <w:bCs/>
      <w:kern w:val="2"/>
      <w:sz w:val="32"/>
      <w:szCs w:val="32"/>
      <w:lang w:eastAsia="ru-RU"/>
    </w:rPr>
  </w:style>
  <w:style w:type="character" w:customStyle="1" w:styleId="20">
    <w:name w:val="Заголовок 2 Знак"/>
    <w:basedOn w:val="a0"/>
    <w:qFormat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qFormat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qFormat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qFormat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qFormat/>
    <w:rPr>
      <w:rFonts w:ascii="Times New Roman" w:eastAsia="Times New Roman" w:hAnsi="Times New Roman" w:cs="Times New Roman"/>
      <w:b/>
      <w:bCs/>
      <w:sz w:val="26"/>
      <w:szCs w:val="26"/>
      <w:highlight w:val="white"/>
      <w:lang w:eastAsia="ru-RU"/>
    </w:rPr>
  </w:style>
  <w:style w:type="character" w:customStyle="1" w:styleId="70">
    <w:name w:val="Заголовок 7 Знак"/>
    <w:basedOn w:val="a0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qFormat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qFormat/>
    <w:rPr>
      <w:rFonts w:ascii="Arial" w:eastAsia="Times New Roman" w:hAnsi="Arial" w:cs="Arial"/>
      <w:lang w:eastAsia="ru-RU"/>
    </w:rPr>
  </w:style>
  <w:style w:type="character" w:customStyle="1" w:styleId="a3">
    <w:name w:val="Название Знак"/>
    <w:basedOn w:val="a0"/>
    <w:qFormat/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character" w:customStyle="1" w:styleId="HTML">
    <w:name w:val="Стандартный HTML Знак"/>
    <w:basedOn w:val="a0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1">
    <w:name w:val="Основной текст с отступом 3 Знак"/>
    <w:basedOn w:val="a0"/>
    <w:qFormat/>
    <w:rPr>
      <w:rFonts w:ascii="Times New Roman" w:eastAsia="Times New Roman" w:hAnsi="Times New Roman" w:cs="Times New Roman"/>
      <w:sz w:val="26"/>
      <w:szCs w:val="26"/>
      <w:highlight w:val="white"/>
      <w:lang w:eastAsia="ru-RU"/>
    </w:rPr>
  </w:style>
  <w:style w:type="character" w:customStyle="1" w:styleId="a4">
    <w:name w:val="Нижний колонтитул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qFormat/>
  </w:style>
  <w:style w:type="character" w:customStyle="1" w:styleId="21">
    <w:name w:val="Основной текст с отступом 2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qFormat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2">
    <w:name w:val="Основной текст 2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2E32E1"/>
    <w:rPr>
      <w:color w:val="0000FF"/>
      <w:u w:val="single"/>
    </w:rPr>
  </w:style>
  <w:style w:type="character" w:customStyle="1" w:styleId="a9">
    <w:name w:val="Текст сноски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Посещённая гиперссылка"/>
    <w:rPr>
      <w:color w:val="800080"/>
      <w:u w:val="single"/>
    </w:rPr>
  </w:style>
  <w:style w:type="character" w:customStyle="1" w:styleId="ab">
    <w:name w:val="Текст Знак"/>
    <w:basedOn w:val="a0"/>
    <w:qFormat/>
    <w:rPr>
      <w:rFonts w:ascii="Courier New" w:eastAsia="Times New Roman" w:hAnsi="Courier New" w:cs="Times New Roman"/>
      <w:szCs w:val="20"/>
      <w:lang w:eastAsia="ru-RU"/>
    </w:rPr>
  </w:style>
  <w:style w:type="character" w:customStyle="1" w:styleId="ac">
    <w:name w:val="Текст выноски Знак"/>
    <w:basedOn w:val="a0"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normaltextrun">
    <w:name w:val="normaltextrun"/>
    <w:qFormat/>
  </w:style>
  <w:style w:type="character" w:customStyle="1" w:styleId="eop">
    <w:name w:val="eop"/>
    <w:qFormat/>
  </w:style>
  <w:style w:type="character" w:customStyle="1" w:styleId="w">
    <w:name w:val="w"/>
    <w:qFormat/>
  </w:style>
  <w:style w:type="character" w:customStyle="1" w:styleId="blk">
    <w:name w:val="blk"/>
    <w:qFormat/>
  </w:style>
  <w:style w:type="character" w:customStyle="1" w:styleId="apple-converted-space">
    <w:name w:val="apple-converted-space"/>
    <w:qFormat/>
  </w:style>
  <w:style w:type="character" w:customStyle="1" w:styleId="23">
    <w:name w:val="Основной текст (2)_"/>
    <w:qFormat/>
    <w:rPr>
      <w:b/>
      <w:bCs/>
      <w:sz w:val="25"/>
      <w:szCs w:val="25"/>
      <w:highlight w:val="white"/>
    </w:rPr>
  </w:style>
  <w:style w:type="character" w:customStyle="1" w:styleId="ad">
    <w:name w:val="Основной текст_"/>
    <w:qFormat/>
    <w:rPr>
      <w:sz w:val="25"/>
      <w:szCs w:val="25"/>
      <w:highlight w:val="white"/>
    </w:rPr>
  </w:style>
  <w:style w:type="character" w:customStyle="1" w:styleId="11">
    <w:name w:val="Основной текст1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5"/>
      <w:szCs w:val="25"/>
      <w:u w:val="single"/>
      <w:lang w:val="ru-RU"/>
    </w:rPr>
  </w:style>
  <w:style w:type="character" w:customStyle="1" w:styleId="ae">
    <w:name w:val="Основной текст + Полужирный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5"/>
      <w:szCs w:val="25"/>
      <w:u w:val="none"/>
      <w:lang w:val="ru-RU"/>
    </w:rPr>
  </w:style>
  <w:style w:type="character" w:customStyle="1" w:styleId="af">
    <w:name w:val="Гипертекстовая ссылка"/>
    <w:qFormat/>
    <w:rPr>
      <w:color w:val="106BBE"/>
    </w:rPr>
  </w:style>
  <w:style w:type="character" w:customStyle="1" w:styleId="24">
    <w:name w:val="Основной текст (2) + Не полужирный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5"/>
      <w:szCs w:val="25"/>
      <w:highlight w:val="white"/>
      <w:u w:val="none"/>
      <w:lang w:val="ru-RU"/>
    </w:rPr>
  </w:style>
  <w:style w:type="character" w:customStyle="1" w:styleId="searchtext">
    <w:name w:val="searchtext"/>
    <w:qFormat/>
  </w:style>
  <w:style w:type="character" w:styleId="af0">
    <w:name w:val="Emphasis"/>
    <w:qFormat/>
    <w:rPr>
      <w:i/>
      <w:iCs/>
    </w:rPr>
  </w:style>
  <w:style w:type="character" w:customStyle="1" w:styleId="posted-on">
    <w:name w:val="posted-on"/>
    <w:qFormat/>
  </w:style>
  <w:style w:type="character" w:customStyle="1" w:styleId="cat-links">
    <w:name w:val="cat-links"/>
    <w:qFormat/>
  </w:style>
  <w:style w:type="character" w:styleId="af1">
    <w:name w:val="Strong"/>
    <w:basedOn w:val="a0"/>
    <w:qFormat/>
    <w:rPr>
      <w:b/>
      <w:bCs/>
    </w:rPr>
  </w:style>
  <w:style w:type="character" w:customStyle="1" w:styleId="af2">
    <w:name w:val="Цветовое выделение"/>
    <w:qFormat/>
    <w:rPr>
      <w:b/>
      <w:bCs/>
      <w:color w:val="26282F"/>
    </w:rPr>
  </w:style>
  <w:style w:type="character" w:customStyle="1" w:styleId="s10">
    <w:name w:val="s_10"/>
    <w:basedOn w:val="a0"/>
    <w:qFormat/>
    <w:rsid w:val="004E1306"/>
  </w:style>
  <w:style w:type="paragraph" w:customStyle="1" w:styleId="af3">
    <w:name w:val="Заголовок"/>
    <w:next w:val="af4"/>
    <w:qFormat/>
    <w:pPr>
      <w:textAlignment w:val="baseline"/>
    </w:pPr>
    <w:rPr>
      <w:rFonts w:ascii="Arial" w:eastAsia="Times New Roman" w:hAnsi="Arial" w:cs="Arial"/>
      <w:b/>
      <w:bCs/>
      <w:sz w:val="22"/>
      <w:lang w:eastAsia="ru-RU"/>
    </w:rPr>
  </w:style>
  <w:style w:type="paragraph" w:styleId="af4">
    <w:name w:val="Body Text"/>
    <w:basedOn w:val="a"/>
    <w:pPr>
      <w:widowControl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List"/>
    <w:basedOn w:val="af4"/>
    <w:rPr>
      <w:rFonts w:cs="Noto Sans Devanagari"/>
    </w:rPr>
  </w:style>
  <w:style w:type="paragraph" w:styleId="af6">
    <w:name w:val="caption"/>
    <w:basedOn w:val="a"/>
    <w:next w:val="a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7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1 Знак"/>
    <w:basedOn w:val="a"/>
    <w:qFormat/>
    <w:pPr>
      <w:widowControl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8">
    <w:name w:val="Title"/>
    <w:basedOn w:val="a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paragraph" w:styleId="HTML0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3">
    <w:name w:val="Body Text Indent 3"/>
    <w:basedOn w:val="a"/>
    <w:qFormat/>
    <w:pPr>
      <w:shd w:val="clear" w:color="auto" w:fill="FFFFFF"/>
      <w:tabs>
        <w:tab w:val="left" w:pos="240"/>
        <w:tab w:val="left" w:pos="8880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41">
    <w:name w:val="заголовок 4"/>
    <w:basedOn w:val="a"/>
    <w:next w:val="a"/>
    <w:qFormat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Верхний и нижний колонтитулы"/>
    <w:basedOn w:val="a"/>
    <w:qFormat/>
  </w:style>
  <w:style w:type="paragraph" w:styleId="afa">
    <w:name w:val="footer"/>
    <w:basedOn w:val="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Body Text Indent 2"/>
    <w:basedOn w:val="a"/>
    <w:qFormat/>
    <w:pPr>
      <w:widowControl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Body Text Indent"/>
    <w:basedOn w:val="a"/>
    <w:pPr>
      <w:widowControl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lock Text"/>
    <w:basedOn w:val="a"/>
    <w:qFormat/>
    <w:pPr>
      <w:shd w:val="clear" w:color="auto" w:fill="FFFFFF"/>
      <w:tabs>
        <w:tab w:val="left" w:pos="1061"/>
      </w:tabs>
      <w:spacing w:after="0" w:line="240" w:lineRule="auto"/>
      <w:ind w:left="-1920" w:right="-293"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"/>
    <w:qFormat/>
    <w:pPr>
      <w:widowControl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2"/>
    <w:basedOn w:val="a"/>
    <w:qFormat/>
    <w:pPr>
      <w:widowControl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header"/>
    <w:basedOn w:val="a"/>
    <w:pPr>
      <w:widowControl w:val="0"/>
      <w:tabs>
        <w:tab w:val="center" w:pos="4677"/>
        <w:tab w:val="right" w:pos="9355"/>
      </w:tabs>
      <w:spacing w:after="0" w:line="240" w:lineRule="auto"/>
      <w:ind w:firstLine="1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Title">
    <w:name w:val="ConsTitle"/>
    <w:qFormat/>
    <w:pPr>
      <w:widowControl w:val="0"/>
      <w:ind w:right="19772"/>
    </w:pPr>
    <w:rPr>
      <w:rFonts w:ascii="Arial" w:eastAsia="Times New Roman" w:hAnsi="Arial" w:cs="Arial"/>
      <w:b/>
      <w:bCs/>
      <w:sz w:val="22"/>
      <w:szCs w:val="20"/>
      <w:lang w:eastAsia="ru-RU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eastAsia="Times New Roman" w:hAnsi="Arial" w:cs="Arial"/>
      <w:sz w:val="22"/>
      <w:szCs w:val="20"/>
      <w:lang w:eastAsia="ru-RU"/>
    </w:rPr>
  </w:style>
  <w:style w:type="paragraph" w:customStyle="1" w:styleId="ConsNonformat">
    <w:name w:val="ConsNonformat"/>
    <w:qFormat/>
    <w:pPr>
      <w:widowControl w:val="0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FR1">
    <w:name w:val="FR1"/>
    <w:qFormat/>
    <w:pPr>
      <w:widowControl w:val="0"/>
      <w:ind w:firstLine="34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reformat">
    <w:name w:val="Preformat"/>
    <w:qFormat/>
    <w:pPr>
      <w:textAlignment w:val="baseline"/>
    </w:pPr>
    <w:rPr>
      <w:rFonts w:ascii="Courier New" w:eastAsia="Times New Roman" w:hAnsi="Courier New" w:cs="Courier New"/>
      <w:sz w:val="22"/>
      <w:szCs w:val="20"/>
      <w:lang w:eastAsia="ru-RU"/>
    </w:rPr>
  </w:style>
  <w:style w:type="paragraph" w:styleId="13">
    <w:name w:val="toc 1"/>
    <w:basedOn w:val="a"/>
    <w:next w:val="a"/>
    <w:autoRedefine/>
    <w:pPr>
      <w:tabs>
        <w:tab w:val="right" w:leader="dot" w:pos="9345"/>
      </w:tabs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e">
    <w:name w:val="ТаблицаШапка"/>
    <w:qFormat/>
    <w:pPr>
      <w:jc w:val="center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ff">
    <w:name w:val="footnote text"/>
    <w:basedOn w:val="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Normal (Web)"/>
    <w:basedOn w:val="a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ТехХаракт"/>
    <w:basedOn w:val="afb"/>
    <w:qFormat/>
    <w:pPr>
      <w:widowControl/>
      <w:tabs>
        <w:tab w:val="right" w:leader="dot" w:pos="8820"/>
      </w:tabs>
      <w:spacing w:after="0"/>
      <w:ind w:left="567" w:right="567"/>
    </w:pPr>
    <w:rPr>
      <w:sz w:val="24"/>
      <w:szCs w:val="24"/>
    </w:rPr>
  </w:style>
  <w:style w:type="paragraph" w:customStyle="1" w:styleId="aff2">
    <w:name w:val="КолонцифраЧетная"/>
    <w:basedOn w:val="a"/>
    <w:qFormat/>
    <w:pPr>
      <w:spacing w:after="0" w:line="240" w:lineRule="auto"/>
    </w:pPr>
    <w:rPr>
      <w:rFonts w:ascii="Times New Roman" w:eastAsia="Times New Roman" w:hAnsi="Times New Roman" w:cs="Times New Roman"/>
      <w:szCs w:val="20"/>
      <w:lang w:val="en-US" w:eastAsia="ru-RU"/>
    </w:rPr>
  </w:style>
  <w:style w:type="paragraph" w:customStyle="1" w:styleId="aff3">
    <w:name w:val="ГОГО_обычный"/>
    <w:qFormat/>
    <w:pPr>
      <w:ind w:firstLine="284"/>
      <w:jc w:val="both"/>
    </w:pPr>
    <w:rPr>
      <w:rFonts w:ascii="Times New Roman" w:eastAsia="Times New Roman" w:hAnsi="Times New Roman" w:cs="Times New Roman"/>
      <w:color w:val="000000"/>
      <w:sz w:val="22"/>
      <w:szCs w:val="21"/>
      <w:lang w:eastAsia="ru-RU"/>
    </w:rPr>
  </w:style>
  <w:style w:type="paragraph" w:customStyle="1" w:styleId="Noparagraphstyle">
    <w:name w:val="[No paragraph style]"/>
    <w:qFormat/>
    <w:pPr>
      <w:spacing w:line="288" w:lineRule="auto"/>
    </w:pPr>
    <w:rPr>
      <w:rFonts w:ascii="Times" w:eastAsia="Times New Roman" w:hAnsi="Times" w:cs="Times New Roman"/>
      <w:color w:val="000000"/>
      <w:sz w:val="24"/>
      <w:szCs w:val="24"/>
      <w:lang w:eastAsia="ru-RU"/>
    </w:rPr>
  </w:style>
  <w:style w:type="paragraph" w:styleId="aff4">
    <w:name w:val="Plain Text"/>
    <w:basedOn w:val="a"/>
    <w:qFormat/>
    <w:pPr>
      <w:spacing w:after="0" w:line="240" w:lineRule="auto"/>
    </w:pPr>
    <w:rPr>
      <w:rFonts w:ascii="Courier New" w:eastAsia="Times New Roman" w:hAnsi="Courier New" w:cs="Times New Roman"/>
      <w:szCs w:val="20"/>
      <w:lang w:eastAsia="ru-RU"/>
    </w:rPr>
  </w:style>
  <w:style w:type="paragraph" w:customStyle="1" w:styleId="FR2">
    <w:name w:val="FR2"/>
    <w:qFormat/>
    <w:pPr>
      <w:widowControl w:val="0"/>
      <w:spacing w:line="252" w:lineRule="auto"/>
      <w:ind w:left="840" w:hanging="560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27">
    <w:name w:val="Îñíîâíîé òåêñò 2"/>
    <w:basedOn w:val="a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">
    <w:name w:val="Основной текст с отступом1"/>
    <w:basedOn w:val="a"/>
    <w:qFormat/>
    <w:pPr>
      <w:shd w:val="clear" w:color="auto" w:fill="FFFFFF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BlockQuotation">
    <w:name w:val="Block Quotation"/>
    <w:basedOn w:val="a"/>
    <w:qFormat/>
    <w:pPr>
      <w:widowControl w:val="0"/>
      <w:spacing w:after="0" w:line="240" w:lineRule="auto"/>
      <w:ind w:left="567" w:right="-2"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5">
    <w:name w:val="Обычный1"/>
    <w:qFormat/>
    <w:pPr>
      <w:widowContro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42">
    <w:name w:val="xl42"/>
    <w:basedOn w:val="a"/>
    <w:qFormat/>
    <w:pPr>
      <w:pBdr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210">
    <w:name w:val="Основной текст 21"/>
    <w:basedOn w:val="a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50">
    <w:name w:val="xl50"/>
    <w:basedOn w:val="a"/>
    <w:qFormat/>
    <w:pPr>
      <w:pBdr>
        <w:left w:val="single" w:sz="4" w:space="0" w:color="000000"/>
        <w:bottom w:val="single" w:sz="4" w:space="0" w:color="000000"/>
        <w:right w:val="single" w:sz="12" w:space="0" w:color="000000"/>
      </w:pBdr>
      <w:spacing w:before="280" w:after="280" w:line="240" w:lineRule="auto"/>
      <w:jc w:val="center"/>
    </w:pPr>
    <w:rPr>
      <w:rFonts w:ascii="Times New Roman" w:eastAsia="Arial Unicode MS" w:hAnsi="Times New Roman" w:cs="Times New Roman"/>
      <w:b/>
      <w:bCs/>
      <w:sz w:val="28"/>
      <w:szCs w:val="28"/>
      <w:lang w:eastAsia="ru-RU"/>
    </w:rPr>
  </w:style>
  <w:style w:type="paragraph" w:styleId="aff5">
    <w:name w:val="Balloon Text"/>
    <w:basedOn w:val="a"/>
    <w:qFormat/>
    <w:pPr>
      <w:widowControl w:val="0"/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6">
    <w:name w:val="List Paragraph"/>
    <w:basedOn w:val="a"/>
    <w:qFormat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"/>
    <w:qFormat/>
    <w:pPr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8">
    <w:name w:val="Обычный2"/>
    <w:qFormat/>
    <w:pPr>
      <w:widowControl w:val="0"/>
      <w:spacing w:line="259" w:lineRule="auto"/>
      <w:ind w:firstLine="160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211">
    <w:name w:val="Основной текст с отступом 21"/>
    <w:basedOn w:val="a"/>
    <w:qFormat/>
    <w:pPr>
      <w:spacing w:after="0" w:line="240" w:lineRule="auto"/>
      <w:ind w:firstLine="567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---western">
    <w:name w:val="первая-строка-с-отступом-western"/>
    <w:basedOn w:val="a"/>
    <w:qFormat/>
    <w:pPr>
      <w:spacing w:before="280" w:after="119" w:line="240" w:lineRule="auto"/>
      <w:ind w:firstLine="709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Web">
    <w:name w:val="Обычный (Web)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qFormat/>
    <w:pPr>
      <w:widowControl w:val="0"/>
      <w:spacing w:line="319" w:lineRule="auto"/>
      <w:ind w:left="560" w:right="2400" w:hanging="280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aff7">
    <w:name w:val="Осн"/>
    <w:basedOn w:val="afb"/>
    <w:autoRedefine/>
    <w:qFormat/>
    <w:pPr>
      <w:widowControl/>
      <w:spacing w:after="0"/>
      <w:ind w:left="0" w:firstLine="709"/>
      <w:jc w:val="both"/>
    </w:pPr>
    <w:rPr>
      <w:sz w:val="28"/>
    </w:rPr>
  </w:style>
  <w:style w:type="paragraph" w:customStyle="1" w:styleId="230">
    <w:name w:val="Основной текст 23"/>
    <w:basedOn w:val="a"/>
    <w:qFormat/>
    <w:pPr>
      <w:spacing w:after="0" w:line="240" w:lineRule="auto"/>
      <w:ind w:firstLine="9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aragraph">
    <w:name w:val="paragraph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pPr>
      <w:widowControl w:val="0"/>
    </w:pPr>
    <w:rPr>
      <w:rFonts w:ascii="Arial" w:eastAsia="Times New Roman" w:hAnsi="Arial" w:cs="Arial"/>
      <w:sz w:val="22"/>
      <w:szCs w:val="20"/>
      <w:lang w:eastAsia="ru-RU"/>
    </w:rPr>
  </w:style>
  <w:style w:type="paragraph" w:customStyle="1" w:styleId="p58">
    <w:name w:val="p58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Основной текст (2)"/>
    <w:basedOn w:val="a"/>
    <w:qFormat/>
    <w:pPr>
      <w:widowControl w:val="0"/>
      <w:shd w:val="clear" w:color="auto" w:fill="FFFFFF"/>
      <w:spacing w:after="4140" w:line="322" w:lineRule="exact"/>
      <w:ind w:hanging="260"/>
      <w:jc w:val="center"/>
    </w:pPr>
    <w:rPr>
      <w:b/>
      <w:bCs/>
      <w:sz w:val="25"/>
      <w:szCs w:val="25"/>
    </w:rPr>
  </w:style>
  <w:style w:type="paragraph" w:customStyle="1" w:styleId="42">
    <w:name w:val="Основной текст4"/>
    <w:basedOn w:val="a"/>
    <w:qFormat/>
    <w:pPr>
      <w:widowControl w:val="0"/>
      <w:shd w:val="clear" w:color="auto" w:fill="FFFFFF"/>
      <w:spacing w:before="6840" w:after="0"/>
      <w:ind w:hanging="360"/>
      <w:jc w:val="center"/>
    </w:pPr>
    <w:rPr>
      <w:sz w:val="25"/>
      <w:szCs w:val="25"/>
    </w:rPr>
  </w:style>
  <w:style w:type="paragraph" w:customStyle="1" w:styleId="s9">
    <w:name w:val="s_9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Нормальный (таблица)"/>
    <w:basedOn w:val="a"/>
    <w:next w:val="a"/>
    <w:qFormat/>
    <w:pPr>
      <w:widowControl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9">
    <w:name w:val="Прижатый влево"/>
    <w:basedOn w:val="a"/>
    <w:next w:val="a"/>
    <w:qFormat/>
    <w:pPr>
      <w:widowControl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----western0">
    <w:name w:val="----western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gcontext">
    <w:name w:val="upgcontext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context">
    <w:name w:val="juscontext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context">
    <w:name w:val="rigcontext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Revision"/>
    <w:qFormat/>
    <w:rPr>
      <w:sz w:val="22"/>
    </w:rPr>
  </w:style>
  <w:style w:type="paragraph" w:customStyle="1" w:styleId="affb">
    <w:name w:val="Содержимое таблицы"/>
    <w:basedOn w:val="a"/>
    <w:qFormat/>
    <w:pPr>
      <w:suppressLineNumbers/>
    </w:pPr>
  </w:style>
  <w:style w:type="paragraph" w:customStyle="1" w:styleId="affc">
    <w:name w:val="Заголовок таблицы"/>
    <w:basedOn w:val="affb"/>
    <w:qFormat/>
    <w:pPr>
      <w:jc w:val="center"/>
    </w:pPr>
    <w:rPr>
      <w:b/>
      <w:bCs/>
    </w:rPr>
  </w:style>
  <w:style w:type="numbering" w:customStyle="1" w:styleId="16">
    <w:name w:val="Нет списка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ahoma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qFormat/>
    <w:pPr>
      <w:keepNext/>
      <w:widowControl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ru-RU"/>
    </w:rPr>
  </w:style>
  <w:style w:type="paragraph" w:styleId="2">
    <w:name w:val="heading 2"/>
    <w:basedOn w:val="a"/>
    <w:next w:val="a"/>
    <w:qFormat/>
    <w:pPr>
      <w:keepNext/>
      <w:widowControl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pPr>
      <w:keepNext/>
      <w:widowControl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qFormat/>
    <w:pPr>
      <w:keepNext/>
      <w:widowControl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pPr>
      <w:widowControl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qFormat/>
    <w:pPr>
      <w:keepNext/>
      <w:shd w:val="clear" w:color="auto" w:fill="FFFFFF"/>
      <w:spacing w:after="0" w:line="240" w:lineRule="auto"/>
      <w:ind w:right="51"/>
      <w:jc w:val="center"/>
      <w:outlineLvl w:val="5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7">
    <w:name w:val="heading 7"/>
    <w:basedOn w:val="a"/>
    <w:next w:val="a"/>
    <w:qFormat/>
    <w:pPr>
      <w:widowControl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qFormat/>
    <w:pPr>
      <w:widowControl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qFormat/>
    <w:pPr>
      <w:widowControl w:val="0"/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qFormat/>
    <w:rPr>
      <w:rFonts w:ascii="Arial" w:eastAsia="Times New Roman" w:hAnsi="Arial" w:cs="Arial"/>
      <w:b/>
      <w:bCs/>
      <w:kern w:val="2"/>
      <w:sz w:val="32"/>
      <w:szCs w:val="32"/>
      <w:lang w:eastAsia="ru-RU"/>
    </w:rPr>
  </w:style>
  <w:style w:type="character" w:customStyle="1" w:styleId="20">
    <w:name w:val="Заголовок 2 Знак"/>
    <w:basedOn w:val="a0"/>
    <w:qFormat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qFormat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qFormat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qFormat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qFormat/>
    <w:rPr>
      <w:rFonts w:ascii="Times New Roman" w:eastAsia="Times New Roman" w:hAnsi="Times New Roman" w:cs="Times New Roman"/>
      <w:b/>
      <w:bCs/>
      <w:sz w:val="26"/>
      <w:szCs w:val="26"/>
      <w:highlight w:val="white"/>
      <w:lang w:eastAsia="ru-RU"/>
    </w:rPr>
  </w:style>
  <w:style w:type="character" w:customStyle="1" w:styleId="70">
    <w:name w:val="Заголовок 7 Знак"/>
    <w:basedOn w:val="a0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qFormat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qFormat/>
    <w:rPr>
      <w:rFonts w:ascii="Arial" w:eastAsia="Times New Roman" w:hAnsi="Arial" w:cs="Arial"/>
      <w:lang w:eastAsia="ru-RU"/>
    </w:rPr>
  </w:style>
  <w:style w:type="character" w:customStyle="1" w:styleId="a3">
    <w:name w:val="Название Знак"/>
    <w:basedOn w:val="a0"/>
    <w:qFormat/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character" w:customStyle="1" w:styleId="HTML">
    <w:name w:val="Стандартный HTML Знак"/>
    <w:basedOn w:val="a0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1">
    <w:name w:val="Основной текст с отступом 3 Знак"/>
    <w:basedOn w:val="a0"/>
    <w:qFormat/>
    <w:rPr>
      <w:rFonts w:ascii="Times New Roman" w:eastAsia="Times New Roman" w:hAnsi="Times New Roman" w:cs="Times New Roman"/>
      <w:sz w:val="26"/>
      <w:szCs w:val="26"/>
      <w:highlight w:val="white"/>
      <w:lang w:eastAsia="ru-RU"/>
    </w:rPr>
  </w:style>
  <w:style w:type="character" w:customStyle="1" w:styleId="a4">
    <w:name w:val="Нижний колонтитул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qFormat/>
  </w:style>
  <w:style w:type="character" w:customStyle="1" w:styleId="21">
    <w:name w:val="Основной текст с отступом 2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qFormat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2">
    <w:name w:val="Основной текст 2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2E32E1"/>
    <w:rPr>
      <w:color w:val="0000FF"/>
      <w:u w:val="single"/>
    </w:rPr>
  </w:style>
  <w:style w:type="character" w:customStyle="1" w:styleId="a9">
    <w:name w:val="Текст сноски Знак"/>
    <w:basedOn w:val="a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Посещённая гиперссылка"/>
    <w:rPr>
      <w:color w:val="800080"/>
      <w:u w:val="single"/>
    </w:rPr>
  </w:style>
  <w:style w:type="character" w:customStyle="1" w:styleId="ab">
    <w:name w:val="Текст Знак"/>
    <w:basedOn w:val="a0"/>
    <w:qFormat/>
    <w:rPr>
      <w:rFonts w:ascii="Courier New" w:eastAsia="Times New Roman" w:hAnsi="Courier New" w:cs="Times New Roman"/>
      <w:szCs w:val="20"/>
      <w:lang w:eastAsia="ru-RU"/>
    </w:rPr>
  </w:style>
  <w:style w:type="character" w:customStyle="1" w:styleId="ac">
    <w:name w:val="Текст выноски Знак"/>
    <w:basedOn w:val="a0"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normaltextrun">
    <w:name w:val="normaltextrun"/>
    <w:qFormat/>
  </w:style>
  <w:style w:type="character" w:customStyle="1" w:styleId="eop">
    <w:name w:val="eop"/>
    <w:qFormat/>
  </w:style>
  <w:style w:type="character" w:customStyle="1" w:styleId="w">
    <w:name w:val="w"/>
    <w:qFormat/>
  </w:style>
  <w:style w:type="character" w:customStyle="1" w:styleId="blk">
    <w:name w:val="blk"/>
    <w:qFormat/>
  </w:style>
  <w:style w:type="character" w:customStyle="1" w:styleId="apple-converted-space">
    <w:name w:val="apple-converted-space"/>
    <w:qFormat/>
  </w:style>
  <w:style w:type="character" w:customStyle="1" w:styleId="23">
    <w:name w:val="Основной текст (2)_"/>
    <w:qFormat/>
    <w:rPr>
      <w:b/>
      <w:bCs/>
      <w:sz w:val="25"/>
      <w:szCs w:val="25"/>
      <w:highlight w:val="white"/>
    </w:rPr>
  </w:style>
  <w:style w:type="character" w:customStyle="1" w:styleId="ad">
    <w:name w:val="Основной текст_"/>
    <w:qFormat/>
    <w:rPr>
      <w:sz w:val="25"/>
      <w:szCs w:val="25"/>
      <w:highlight w:val="white"/>
    </w:rPr>
  </w:style>
  <w:style w:type="character" w:customStyle="1" w:styleId="11">
    <w:name w:val="Основной текст1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5"/>
      <w:szCs w:val="25"/>
      <w:u w:val="single"/>
      <w:lang w:val="ru-RU"/>
    </w:rPr>
  </w:style>
  <w:style w:type="character" w:customStyle="1" w:styleId="ae">
    <w:name w:val="Основной текст + Полужирный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5"/>
      <w:szCs w:val="25"/>
      <w:u w:val="none"/>
      <w:lang w:val="ru-RU"/>
    </w:rPr>
  </w:style>
  <w:style w:type="character" w:customStyle="1" w:styleId="af">
    <w:name w:val="Гипертекстовая ссылка"/>
    <w:qFormat/>
    <w:rPr>
      <w:color w:val="106BBE"/>
    </w:rPr>
  </w:style>
  <w:style w:type="character" w:customStyle="1" w:styleId="24">
    <w:name w:val="Основной текст (2) + Не полужирный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5"/>
      <w:szCs w:val="25"/>
      <w:highlight w:val="white"/>
      <w:u w:val="none"/>
      <w:lang w:val="ru-RU"/>
    </w:rPr>
  </w:style>
  <w:style w:type="character" w:customStyle="1" w:styleId="searchtext">
    <w:name w:val="searchtext"/>
    <w:qFormat/>
  </w:style>
  <w:style w:type="character" w:styleId="af0">
    <w:name w:val="Emphasis"/>
    <w:qFormat/>
    <w:rPr>
      <w:i/>
      <w:iCs/>
    </w:rPr>
  </w:style>
  <w:style w:type="character" w:customStyle="1" w:styleId="posted-on">
    <w:name w:val="posted-on"/>
    <w:qFormat/>
  </w:style>
  <w:style w:type="character" w:customStyle="1" w:styleId="cat-links">
    <w:name w:val="cat-links"/>
    <w:qFormat/>
  </w:style>
  <w:style w:type="character" w:styleId="af1">
    <w:name w:val="Strong"/>
    <w:basedOn w:val="a0"/>
    <w:qFormat/>
    <w:rPr>
      <w:b/>
      <w:bCs/>
    </w:rPr>
  </w:style>
  <w:style w:type="character" w:customStyle="1" w:styleId="af2">
    <w:name w:val="Цветовое выделение"/>
    <w:qFormat/>
    <w:rPr>
      <w:b/>
      <w:bCs/>
      <w:color w:val="26282F"/>
    </w:rPr>
  </w:style>
  <w:style w:type="character" w:customStyle="1" w:styleId="s10">
    <w:name w:val="s_10"/>
    <w:basedOn w:val="a0"/>
    <w:qFormat/>
    <w:rsid w:val="004E1306"/>
  </w:style>
  <w:style w:type="paragraph" w:customStyle="1" w:styleId="af3">
    <w:name w:val="Заголовок"/>
    <w:next w:val="af4"/>
    <w:qFormat/>
    <w:pPr>
      <w:textAlignment w:val="baseline"/>
    </w:pPr>
    <w:rPr>
      <w:rFonts w:ascii="Arial" w:eastAsia="Times New Roman" w:hAnsi="Arial" w:cs="Arial"/>
      <w:b/>
      <w:bCs/>
      <w:sz w:val="22"/>
      <w:lang w:eastAsia="ru-RU"/>
    </w:rPr>
  </w:style>
  <w:style w:type="paragraph" w:styleId="af4">
    <w:name w:val="Body Text"/>
    <w:basedOn w:val="a"/>
    <w:pPr>
      <w:widowControl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List"/>
    <w:basedOn w:val="af4"/>
    <w:rPr>
      <w:rFonts w:cs="Noto Sans Devanagari"/>
    </w:rPr>
  </w:style>
  <w:style w:type="paragraph" w:styleId="af6">
    <w:name w:val="caption"/>
    <w:basedOn w:val="a"/>
    <w:next w:val="a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7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1 Знак"/>
    <w:basedOn w:val="a"/>
    <w:qFormat/>
    <w:pPr>
      <w:widowControl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8">
    <w:name w:val="Title"/>
    <w:basedOn w:val="a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paragraph" w:styleId="HTML0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3">
    <w:name w:val="Body Text Indent 3"/>
    <w:basedOn w:val="a"/>
    <w:qFormat/>
    <w:pPr>
      <w:shd w:val="clear" w:color="auto" w:fill="FFFFFF"/>
      <w:tabs>
        <w:tab w:val="left" w:pos="240"/>
        <w:tab w:val="left" w:pos="8880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41">
    <w:name w:val="заголовок 4"/>
    <w:basedOn w:val="a"/>
    <w:next w:val="a"/>
    <w:qFormat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Верхний и нижний колонтитулы"/>
    <w:basedOn w:val="a"/>
    <w:qFormat/>
  </w:style>
  <w:style w:type="paragraph" w:styleId="afa">
    <w:name w:val="footer"/>
    <w:basedOn w:val="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Body Text Indent 2"/>
    <w:basedOn w:val="a"/>
    <w:qFormat/>
    <w:pPr>
      <w:widowControl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Body Text Indent"/>
    <w:basedOn w:val="a"/>
    <w:pPr>
      <w:widowControl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lock Text"/>
    <w:basedOn w:val="a"/>
    <w:qFormat/>
    <w:pPr>
      <w:shd w:val="clear" w:color="auto" w:fill="FFFFFF"/>
      <w:tabs>
        <w:tab w:val="left" w:pos="1061"/>
      </w:tabs>
      <w:spacing w:after="0" w:line="240" w:lineRule="auto"/>
      <w:ind w:left="-1920" w:right="-293"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"/>
    <w:qFormat/>
    <w:pPr>
      <w:widowControl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2"/>
    <w:basedOn w:val="a"/>
    <w:qFormat/>
    <w:pPr>
      <w:widowControl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header"/>
    <w:basedOn w:val="a"/>
    <w:pPr>
      <w:widowControl w:val="0"/>
      <w:tabs>
        <w:tab w:val="center" w:pos="4677"/>
        <w:tab w:val="right" w:pos="9355"/>
      </w:tabs>
      <w:spacing w:after="0" w:line="240" w:lineRule="auto"/>
      <w:ind w:firstLine="1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Title">
    <w:name w:val="ConsTitle"/>
    <w:qFormat/>
    <w:pPr>
      <w:widowControl w:val="0"/>
      <w:ind w:right="19772"/>
    </w:pPr>
    <w:rPr>
      <w:rFonts w:ascii="Arial" w:eastAsia="Times New Roman" w:hAnsi="Arial" w:cs="Arial"/>
      <w:b/>
      <w:bCs/>
      <w:sz w:val="22"/>
      <w:szCs w:val="20"/>
      <w:lang w:eastAsia="ru-RU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eastAsia="Times New Roman" w:hAnsi="Arial" w:cs="Arial"/>
      <w:sz w:val="22"/>
      <w:szCs w:val="20"/>
      <w:lang w:eastAsia="ru-RU"/>
    </w:rPr>
  </w:style>
  <w:style w:type="paragraph" w:customStyle="1" w:styleId="ConsNonformat">
    <w:name w:val="ConsNonformat"/>
    <w:qFormat/>
    <w:pPr>
      <w:widowControl w:val="0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FR1">
    <w:name w:val="FR1"/>
    <w:qFormat/>
    <w:pPr>
      <w:widowControl w:val="0"/>
      <w:ind w:firstLine="34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reformat">
    <w:name w:val="Preformat"/>
    <w:qFormat/>
    <w:pPr>
      <w:textAlignment w:val="baseline"/>
    </w:pPr>
    <w:rPr>
      <w:rFonts w:ascii="Courier New" w:eastAsia="Times New Roman" w:hAnsi="Courier New" w:cs="Courier New"/>
      <w:sz w:val="22"/>
      <w:szCs w:val="20"/>
      <w:lang w:eastAsia="ru-RU"/>
    </w:rPr>
  </w:style>
  <w:style w:type="paragraph" w:styleId="13">
    <w:name w:val="toc 1"/>
    <w:basedOn w:val="a"/>
    <w:next w:val="a"/>
    <w:autoRedefine/>
    <w:pPr>
      <w:tabs>
        <w:tab w:val="right" w:leader="dot" w:pos="9345"/>
      </w:tabs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e">
    <w:name w:val="ТаблицаШапка"/>
    <w:qFormat/>
    <w:pPr>
      <w:jc w:val="center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ff">
    <w:name w:val="footnote text"/>
    <w:basedOn w:val="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Normal (Web)"/>
    <w:basedOn w:val="a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ТехХаракт"/>
    <w:basedOn w:val="afb"/>
    <w:qFormat/>
    <w:pPr>
      <w:widowControl/>
      <w:tabs>
        <w:tab w:val="right" w:leader="dot" w:pos="8820"/>
      </w:tabs>
      <w:spacing w:after="0"/>
      <w:ind w:left="567" w:right="567"/>
    </w:pPr>
    <w:rPr>
      <w:sz w:val="24"/>
      <w:szCs w:val="24"/>
    </w:rPr>
  </w:style>
  <w:style w:type="paragraph" w:customStyle="1" w:styleId="aff2">
    <w:name w:val="КолонцифраЧетная"/>
    <w:basedOn w:val="a"/>
    <w:qFormat/>
    <w:pPr>
      <w:spacing w:after="0" w:line="240" w:lineRule="auto"/>
    </w:pPr>
    <w:rPr>
      <w:rFonts w:ascii="Times New Roman" w:eastAsia="Times New Roman" w:hAnsi="Times New Roman" w:cs="Times New Roman"/>
      <w:szCs w:val="20"/>
      <w:lang w:val="en-US" w:eastAsia="ru-RU"/>
    </w:rPr>
  </w:style>
  <w:style w:type="paragraph" w:customStyle="1" w:styleId="aff3">
    <w:name w:val="ГОГО_обычный"/>
    <w:qFormat/>
    <w:pPr>
      <w:ind w:firstLine="284"/>
      <w:jc w:val="both"/>
    </w:pPr>
    <w:rPr>
      <w:rFonts w:ascii="Times New Roman" w:eastAsia="Times New Roman" w:hAnsi="Times New Roman" w:cs="Times New Roman"/>
      <w:color w:val="000000"/>
      <w:sz w:val="22"/>
      <w:szCs w:val="21"/>
      <w:lang w:eastAsia="ru-RU"/>
    </w:rPr>
  </w:style>
  <w:style w:type="paragraph" w:customStyle="1" w:styleId="Noparagraphstyle">
    <w:name w:val="[No paragraph style]"/>
    <w:qFormat/>
    <w:pPr>
      <w:spacing w:line="288" w:lineRule="auto"/>
    </w:pPr>
    <w:rPr>
      <w:rFonts w:ascii="Times" w:eastAsia="Times New Roman" w:hAnsi="Times" w:cs="Times New Roman"/>
      <w:color w:val="000000"/>
      <w:sz w:val="24"/>
      <w:szCs w:val="24"/>
      <w:lang w:eastAsia="ru-RU"/>
    </w:rPr>
  </w:style>
  <w:style w:type="paragraph" w:styleId="aff4">
    <w:name w:val="Plain Text"/>
    <w:basedOn w:val="a"/>
    <w:qFormat/>
    <w:pPr>
      <w:spacing w:after="0" w:line="240" w:lineRule="auto"/>
    </w:pPr>
    <w:rPr>
      <w:rFonts w:ascii="Courier New" w:eastAsia="Times New Roman" w:hAnsi="Courier New" w:cs="Times New Roman"/>
      <w:szCs w:val="20"/>
      <w:lang w:eastAsia="ru-RU"/>
    </w:rPr>
  </w:style>
  <w:style w:type="paragraph" w:customStyle="1" w:styleId="FR2">
    <w:name w:val="FR2"/>
    <w:qFormat/>
    <w:pPr>
      <w:widowControl w:val="0"/>
      <w:spacing w:line="252" w:lineRule="auto"/>
      <w:ind w:left="840" w:hanging="560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27">
    <w:name w:val="Îñíîâíîé òåêñò 2"/>
    <w:basedOn w:val="a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">
    <w:name w:val="Основной текст с отступом1"/>
    <w:basedOn w:val="a"/>
    <w:qFormat/>
    <w:pPr>
      <w:shd w:val="clear" w:color="auto" w:fill="FFFFFF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BlockQuotation">
    <w:name w:val="Block Quotation"/>
    <w:basedOn w:val="a"/>
    <w:qFormat/>
    <w:pPr>
      <w:widowControl w:val="0"/>
      <w:spacing w:after="0" w:line="240" w:lineRule="auto"/>
      <w:ind w:left="567" w:right="-2"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5">
    <w:name w:val="Обычный1"/>
    <w:qFormat/>
    <w:pPr>
      <w:widowContro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42">
    <w:name w:val="xl42"/>
    <w:basedOn w:val="a"/>
    <w:qFormat/>
    <w:pPr>
      <w:pBdr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210">
    <w:name w:val="Основной текст 21"/>
    <w:basedOn w:val="a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50">
    <w:name w:val="xl50"/>
    <w:basedOn w:val="a"/>
    <w:qFormat/>
    <w:pPr>
      <w:pBdr>
        <w:left w:val="single" w:sz="4" w:space="0" w:color="000000"/>
        <w:bottom w:val="single" w:sz="4" w:space="0" w:color="000000"/>
        <w:right w:val="single" w:sz="12" w:space="0" w:color="000000"/>
      </w:pBdr>
      <w:spacing w:before="280" w:after="280" w:line="240" w:lineRule="auto"/>
      <w:jc w:val="center"/>
    </w:pPr>
    <w:rPr>
      <w:rFonts w:ascii="Times New Roman" w:eastAsia="Arial Unicode MS" w:hAnsi="Times New Roman" w:cs="Times New Roman"/>
      <w:b/>
      <w:bCs/>
      <w:sz w:val="28"/>
      <w:szCs w:val="28"/>
      <w:lang w:eastAsia="ru-RU"/>
    </w:rPr>
  </w:style>
  <w:style w:type="paragraph" w:styleId="aff5">
    <w:name w:val="Balloon Text"/>
    <w:basedOn w:val="a"/>
    <w:qFormat/>
    <w:pPr>
      <w:widowControl w:val="0"/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6">
    <w:name w:val="List Paragraph"/>
    <w:basedOn w:val="a"/>
    <w:qFormat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"/>
    <w:qFormat/>
    <w:pPr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8">
    <w:name w:val="Обычный2"/>
    <w:qFormat/>
    <w:pPr>
      <w:widowControl w:val="0"/>
      <w:spacing w:line="259" w:lineRule="auto"/>
      <w:ind w:firstLine="160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211">
    <w:name w:val="Основной текст с отступом 21"/>
    <w:basedOn w:val="a"/>
    <w:qFormat/>
    <w:pPr>
      <w:spacing w:after="0" w:line="240" w:lineRule="auto"/>
      <w:ind w:firstLine="567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---western">
    <w:name w:val="первая-строка-с-отступом-western"/>
    <w:basedOn w:val="a"/>
    <w:qFormat/>
    <w:pPr>
      <w:spacing w:before="280" w:after="119" w:line="240" w:lineRule="auto"/>
      <w:ind w:firstLine="709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Web">
    <w:name w:val="Обычный (Web)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qFormat/>
    <w:pPr>
      <w:widowControl w:val="0"/>
      <w:spacing w:line="319" w:lineRule="auto"/>
      <w:ind w:left="560" w:right="2400" w:hanging="280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aff7">
    <w:name w:val="Осн"/>
    <w:basedOn w:val="afb"/>
    <w:autoRedefine/>
    <w:qFormat/>
    <w:pPr>
      <w:widowControl/>
      <w:spacing w:after="0"/>
      <w:ind w:left="0" w:firstLine="709"/>
      <w:jc w:val="both"/>
    </w:pPr>
    <w:rPr>
      <w:sz w:val="28"/>
    </w:rPr>
  </w:style>
  <w:style w:type="paragraph" w:customStyle="1" w:styleId="230">
    <w:name w:val="Основной текст 23"/>
    <w:basedOn w:val="a"/>
    <w:qFormat/>
    <w:pPr>
      <w:spacing w:after="0" w:line="240" w:lineRule="auto"/>
      <w:ind w:firstLine="9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aragraph">
    <w:name w:val="paragraph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pPr>
      <w:widowControl w:val="0"/>
    </w:pPr>
    <w:rPr>
      <w:rFonts w:ascii="Arial" w:eastAsia="Times New Roman" w:hAnsi="Arial" w:cs="Arial"/>
      <w:sz w:val="22"/>
      <w:szCs w:val="20"/>
      <w:lang w:eastAsia="ru-RU"/>
    </w:rPr>
  </w:style>
  <w:style w:type="paragraph" w:customStyle="1" w:styleId="p58">
    <w:name w:val="p58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Основной текст (2)"/>
    <w:basedOn w:val="a"/>
    <w:qFormat/>
    <w:pPr>
      <w:widowControl w:val="0"/>
      <w:shd w:val="clear" w:color="auto" w:fill="FFFFFF"/>
      <w:spacing w:after="4140" w:line="322" w:lineRule="exact"/>
      <w:ind w:hanging="260"/>
      <w:jc w:val="center"/>
    </w:pPr>
    <w:rPr>
      <w:b/>
      <w:bCs/>
      <w:sz w:val="25"/>
      <w:szCs w:val="25"/>
    </w:rPr>
  </w:style>
  <w:style w:type="paragraph" w:customStyle="1" w:styleId="42">
    <w:name w:val="Основной текст4"/>
    <w:basedOn w:val="a"/>
    <w:qFormat/>
    <w:pPr>
      <w:widowControl w:val="0"/>
      <w:shd w:val="clear" w:color="auto" w:fill="FFFFFF"/>
      <w:spacing w:before="6840" w:after="0"/>
      <w:ind w:hanging="360"/>
      <w:jc w:val="center"/>
    </w:pPr>
    <w:rPr>
      <w:sz w:val="25"/>
      <w:szCs w:val="25"/>
    </w:rPr>
  </w:style>
  <w:style w:type="paragraph" w:customStyle="1" w:styleId="s9">
    <w:name w:val="s_9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Нормальный (таблица)"/>
    <w:basedOn w:val="a"/>
    <w:next w:val="a"/>
    <w:qFormat/>
    <w:pPr>
      <w:widowControl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9">
    <w:name w:val="Прижатый влево"/>
    <w:basedOn w:val="a"/>
    <w:next w:val="a"/>
    <w:qFormat/>
    <w:pPr>
      <w:widowControl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----western0">
    <w:name w:val="----western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gcontext">
    <w:name w:val="upgcontext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context">
    <w:name w:val="juscontext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context">
    <w:name w:val="rigcontext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Revision"/>
    <w:qFormat/>
    <w:rPr>
      <w:sz w:val="22"/>
    </w:rPr>
  </w:style>
  <w:style w:type="paragraph" w:customStyle="1" w:styleId="affb">
    <w:name w:val="Содержимое таблицы"/>
    <w:basedOn w:val="a"/>
    <w:qFormat/>
    <w:pPr>
      <w:suppressLineNumbers/>
    </w:pPr>
  </w:style>
  <w:style w:type="paragraph" w:customStyle="1" w:styleId="affc">
    <w:name w:val="Заголовок таблицы"/>
    <w:basedOn w:val="affb"/>
    <w:qFormat/>
    <w:pPr>
      <w:jc w:val="center"/>
    </w:pPr>
    <w:rPr>
      <w:b/>
      <w:bCs/>
    </w:rPr>
  </w:style>
  <w:style w:type="numbering" w:customStyle="1" w:styleId="16">
    <w:name w:val="Нет списка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9331/" TargetMode="External"/><Relationship Id="rId13" Type="http://schemas.openxmlformats.org/officeDocument/2006/relationships/hyperlink" Target="https://docs.cntd.ru/document/1200006227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files.stroyinf.ru/Data2/1/4293742/4293742758.htm" TargetMode="External"/><Relationship Id="rId7" Type="http://schemas.openxmlformats.org/officeDocument/2006/relationships/header" Target="header1.xml"/><Relationship Id="rId12" Type="http://schemas.openxmlformats.org/officeDocument/2006/relationships/hyperlink" Target="https://base.garant.ru/5228431/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20" Type="http://schemas.openxmlformats.org/officeDocument/2006/relationships/hyperlink" Target="https://docs.cntd.ru/document/1200006227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base.garant.ru/2540377/5cb38dc5a9b836c471327339893d74c0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footer" Target="footer1.xml"/><Relationship Id="rId10" Type="http://schemas.openxmlformats.org/officeDocument/2006/relationships/hyperlink" Target="https://base.garant.ru/2540377/daf75cc17d0d1b8b796480bc59f740b8/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2540377/" TargetMode="External"/><Relationship Id="rId14" Type="http://schemas.openxmlformats.org/officeDocument/2006/relationships/hyperlink" Target="https://files.stroyinf.ru/Data2/1/4293742/4293742758.htm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68</Pages>
  <Words>16621</Words>
  <Characters>94746</Characters>
  <Application>Microsoft Office Word</Application>
  <DocSecurity>0</DocSecurity>
  <Lines>789</Lines>
  <Paragraphs>222</Paragraphs>
  <ScaleCrop>false</ScaleCrop>
  <Company>Microsoft</Company>
  <LinksUpToDate>false</LinksUpToDate>
  <CharactersWithSpaces>111145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71 АГЗ</dc:creator>
  <dc:description/>
  <cp:lastModifiedBy>ASDF</cp:lastModifiedBy>
  <cp:revision>38</cp:revision>
  <cp:lastPrinted>2023-07-21T12:28:00Z</cp:lastPrinted>
  <dcterms:created xsi:type="dcterms:W3CDTF">2023-07-19T11:55:00Z</dcterms:created>
  <dcterms:modified xsi:type="dcterms:W3CDTF">2023-11-23T13:23:00Z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