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90" w:rsidRDefault="00C22F90">
      <w:pPr>
        <w:pStyle w:val="ConsPlusNormal"/>
        <w:jc w:val="both"/>
        <w:outlineLvl w:val="0"/>
      </w:pPr>
      <w:bookmarkStart w:id="0" w:name="_GoBack"/>
      <w:bookmarkEnd w:id="0"/>
    </w:p>
    <w:p w:rsidR="00C22F90" w:rsidRDefault="002A6D69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C22F90" w:rsidRDefault="002A6D69">
      <w:pPr>
        <w:pStyle w:val="ConsPlusTitle"/>
        <w:jc w:val="center"/>
      </w:pPr>
      <w:r>
        <w:t>ОБОРОНЫ, ЧРЕЗВЫЧАЙНЫМ СИТУАЦИЯМ И ЛИКВИДАЦИИ</w:t>
      </w:r>
    </w:p>
    <w:p w:rsidR="00C22F90" w:rsidRDefault="002A6D69">
      <w:pPr>
        <w:pStyle w:val="ConsPlusTitle"/>
        <w:jc w:val="center"/>
      </w:pPr>
      <w:r>
        <w:t>ПОСЛЕДСТВИЙ СТИХИЙНЫХ БЕДСТВИЙ</w:t>
      </w:r>
    </w:p>
    <w:p w:rsidR="00C22F90" w:rsidRDefault="00C22F90">
      <w:pPr>
        <w:pStyle w:val="ConsPlusTitle"/>
        <w:jc w:val="center"/>
      </w:pPr>
    </w:p>
    <w:p w:rsidR="00C22F90" w:rsidRDefault="002A6D69">
      <w:pPr>
        <w:pStyle w:val="ConsPlusTitle"/>
        <w:jc w:val="center"/>
      </w:pPr>
      <w:r>
        <w:t>ПИСЬМО</w:t>
      </w:r>
    </w:p>
    <w:p w:rsidR="00C22F90" w:rsidRDefault="002A6D69">
      <w:pPr>
        <w:pStyle w:val="ConsPlusTitle"/>
        <w:jc w:val="center"/>
      </w:pPr>
      <w:r>
        <w:t>от 27 марта 2026 г. N 43-1730-19</w:t>
      </w:r>
    </w:p>
    <w:p w:rsidR="00C22F90" w:rsidRDefault="00C22F90">
      <w:pPr>
        <w:pStyle w:val="ConsPlusTitle"/>
        <w:jc w:val="center"/>
      </w:pPr>
    </w:p>
    <w:p w:rsidR="00C22F90" w:rsidRDefault="002A6D69">
      <w:pPr>
        <w:pStyle w:val="ConsPlusTitle"/>
        <w:jc w:val="center"/>
      </w:pPr>
      <w:r>
        <w:t>О ПОРЯДКЕ ПРИМЕНЕНИЯ ПРИКАЗА МЧС РОССИИ ОТ 24.11.2022 N 1173</w:t>
      </w:r>
    </w:p>
    <w:p w:rsidR="00C22F90" w:rsidRDefault="00C22F90">
      <w:pPr>
        <w:pStyle w:val="ConsPlusNormal"/>
        <w:jc w:val="both"/>
      </w:pPr>
    </w:p>
    <w:p w:rsidR="00C22F90" w:rsidRDefault="002A6D69">
      <w:pPr>
        <w:pStyle w:val="ConsPlusNormal"/>
        <w:ind w:firstLine="540"/>
        <w:jc w:val="both"/>
      </w:pPr>
      <w:proofErr w:type="gramStart"/>
      <w:r>
        <w:t xml:space="preserve">В целях формирования единообразной правоприменительной практики при реализации положений Федерального </w:t>
      </w:r>
      <w:hyperlink r:id="rId7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22.07.2008 N 123-ФЗ "Технический регламент о требованиях пожарной безопасности" (далее - Технический регламент) и </w:t>
      </w:r>
      <w:hyperlink r:id="rId8" w:tooltip="Приказ МЧС России от 24.11.2022 N 1173 &quot;Об утверждении требований к проектированию систем передачи извещений о пожаре&quot; (Зарегистрировано в Минюсте России 30.11.2022 N 71239) {КонсультантПлюс}">
        <w:r>
          <w:rPr>
            <w:color w:val="0000FF"/>
          </w:rPr>
          <w:t>Требований</w:t>
        </w:r>
      </w:hyperlink>
      <w:r>
        <w:t xml:space="preserve"> к проектированию систем передачи извещений о пожаре, утвержденных приказом МЧС России от 24.11.2022 N 1173 (далее - приказ N 1173), а также для использования в работе правообладателями объектов защиты, лицами, осущес</w:t>
      </w:r>
      <w:r>
        <w:t>твляющими подготовку проектной и иной</w:t>
      </w:r>
      <w:proofErr w:type="gramEnd"/>
      <w:r>
        <w:t xml:space="preserve"> технической документации, экспертными организациями и иными заинтересованными лицами, МЧС России сообщает.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9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части 7 статьи 83</w:t>
        </w:r>
      </w:hyperlink>
      <w:r>
        <w:t xml:space="preserve"> Технического регламента для объектов защиты классов функциональной пожарн</w:t>
      </w:r>
      <w:r>
        <w:t>ой опасности Ф</w:t>
      </w:r>
      <w:proofErr w:type="gramStart"/>
      <w:r>
        <w:t>1</w:t>
      </w:r>
      <w:proofErr w:type="gramEnd"/>
      <w:r>
        <w:t>.1, Ф1.2, Ф4.1 и Ф4.2 предусмотрено автоматическое дублирование сигналов системы пожарной сигнализации о возникновении пожара в подразделение пожарной охраны с использованием системы передачи извещений о пожаре.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 xml:space="preserve">В развитие указанного </w:t>
      </w:r>
      <w:hyperlink r:id="rId10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положения</w:t>
        </w:r>
      </w:hyperlink>
      <w:r>
        <w:t xml:space="preserve"> Технического регламента в соответствии с </w:t>
      </w:r>
      <w:hyperlink r:id="rId11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частью 7.1 статьи 83</w:t>
        </w:r>
      </w:hyperlink>
      <w:r>
        <w:t xml:space="preserve"> издан </w:t>
      </w:r>
      <w:hyperlink r:id="rId12" w:tooltip="Приказ МЧС России от 24.11.2022 N 1173 &quot;Об утверждении требований к проектированию систем передачи извещений о пожаре&quot; (Зарегистрировано в Минюсте России 30.11.2022 N 71239) {КонсультантПлюс}">
        <w:r>
          <w:rPr>
            <w:color w:val="0000FF"/>
          </w:rPr>
          <w:t>приказ</w:t>
        </w:r>
      </w:hyperlink>
      <w:r>
        <w:t xml:space="preserve"> N 1173, устанавливающий требования к проектированию СПИ.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>Исходя из изложенного, обязательность оснащения объект</w:t>
      </w:r>
      <w:r>
        <w:t xml:space="preserve">а защиты </w:t>
      </w:r>
      <w:proofErr w:type="gramStart"/>
      <w:r>
        <w:t>СПИ</w:t>
      </w:r>
      <w:proofErr w:type="gramEnd"/>
      <w:r>
        <w:t xml:space="preserve"> определяется принадлежностью здания и (или) пожарного отсека здания к соответствующему классу функциональной пожарной опасности. Оснащение помещений, относящихся к классам функциональной пожарной опасности Ф</w:t>
      </w:r>
      <w:proofErr w:type="gramStart"/>
      <w:r>
        <w:t>1</w:t>
      </w:r>
      <w:proofErr w:type="gramEnd"/>
      <w:r>
        <w:t>.1, Ф1.2, Ф4.1 и Ф4.2, расположенны</w:t>
      </w:r>
      <w:r>
        <w:t>х в зданиях иного функционального назначения, не требуется.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 xml:space="preserve">Вместе с тем </w:t>
      </w:r>
      <w:proofErr w:type="gramStart"/>
      <w:r>
        <w:t>СПИ</w:t>
      </w:r>
      <w:proofErr w:type="gramEnd"/>
      <w:r>
        <w:t xml:space="preserve"> могут предусматриваться и на иных объектах защиты. В частности, в силу </w:t>
      </w:r>
      <w:hyperlink r:id="rId13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части 2 статьи 78</w:t>
        </w:r>
      </w:hyperlink>
      <w:r>
        <w:t xml:space="preserve"> Технического регламента в отношении отдельных объектов защиты могут отсутств</w:t>
      </w:r>
      <w:r>
        <w:t xml:space="preserve">овать нормативные требования пожарной безопасности. В таких случаях решение о применении </w:t>
      </w:r>
      <w:proofErr w:type="gramStart"/>
      <w:r>
        <w:t>СПИ в качестве компенсирующего мероприятия может</w:t>
      </w:r>
      <w:proofErr w:type="gramEnd"/>
      <w:r>
        <w:t xml:space="preserve"> быть предусмотрено в рамках разработки специальных технических условий, отражающих специфику обеспечения пожарной безо</w:t>
      </w:r>
      <w:r>
        <w:t>пасности конкретного объекта защиты и содержащих комплекс необходимых инженерно-технических и организационных мероприятий по обеспечению пожарной безопасности.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 xml:space="preserve">В этой связи </w:t>
      </w:r>
      <w:hyperlink r:id="rId14" w:tooltip="Приказ МЧС России от 24.11.2022 N 1173 &quot;Об утверждении требований к проектированию систем передачи извещений о пожаре&quot; (Зарегистрировано в Минюсте России 30.11.2022 N 71239) {КонсультантПлюс}">
        <w:r>
          <w:rPr>
            <w:color w:val="0000FF"/>
          </w:rPr>
          <w:t>приказ</w:t>
        </w:r>
      </w:hyperlink>
      <w:r>
        <w:t xml:space="preserve"> N 1173 подлежит применению: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>при</w:t>
      </w:r>
      <w:r>
        <w:t xml:space="preserve"> проектировании СПИ на объектах, для которых их устройство обязательно в силу </w:t>
      </w:r>
      <w:hyperlink r:id="rId15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части 7 статьи 83</w:t>
        </w:r>
      </w:hyperlink>
      <w:r>
        <w:t xml:space="preserve"> Технического регламента;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 xml:space="preserve">при проектировании СПИ на иных объектах защиты, если их устройство предусмотрено заданием на проектирование, проектной либо </w:t>
      </w:r>
      <w:r>
        <w:t>иной документацией, а также нормативными документами по пожарной безопасности.</w:t>
      </w:r>
    </w:p>
    <w:p w:rsidR="00C22F90" w:rsidRDefault="002A6D69">
      <w:pPr>
        <w:pStyle w:val="ConsPlusNormal"/>
        <w:spacing w:before="240"/>
        <w:ind w:firstLine="540"/>
        <w:jc w:val="both"/>
      </w:pPr>
      <w:r>
        <w:t xml:space="preserve">Проектирование СПИ должно осуществляться с учетом положений Технического </w:t>
      </w:r>
      <w:hyperlink r:id="rId16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 xml:space="preserve">, технического </w:t>
      </w:r>
      <w:hyperlink r:id="rId17" w:tooltip="Решение Совета Евразийской экономической комиссии от 23.06.2017 N 40 &quot;О техническом регламенте Евразийского экономического союза &quot;О требованиях к средствам обеспечения пожарной безопасности и пожаротушения&quot; (вместе с &quot;ТР ЕАЭС 043/2017. Технический регламент Ев">
        <w:r>
          <w:rPr>
            <w:color w:val="0000FF"/>
          </w:rPr>
          <w:t>регламента</w:t>
        </w:r>
      </w:hyperlink>
      <w:r>
        <w:t xml:space="preserve"> Евразийского экономического союза "О требованиях к </w:t>
      </w:r>
      <w:r>
        <w:lastRenderedPageBreak/>
        <w:t>средствам обеспечения пожарной безопасности и пожаротушения" (</w:t>
      </w:r>
      <w:proofErr w:type="gramStart"/>
      <w:r>
        <w:t>ТР</w:t>
      </w:r>
      <w:proofErr w:type="gramEnd"/>
      <w:r>
        <w:t xml:space="preserve"> ЕАЭС 043/2017), иных нормативных правовых актов Российской Федерации, норматив</w:t>
      </w:r>
      <w:r>
        <w:t>ных документов по пожарной безопасности, задания на проектирование, а также технической документации изготовителей соответствующих технических средств.</w:t>
      </w:r>
    </w:p>
    <w:p w:rsidR="00C22F90" w:rsidRDefault="002A6D69">
      <w:pPr>
        <w:pStyle w:val="ConsPlusNormal"/>
        <w:spacing w:before="240"/>
        <w:ind w:firstLine="540"/>
        <w:jc w:val="both"/>
      </w:pPr>
      <w:proofErr w:type="gramStart"/>
      <w:r>
        <w:t xml:space="preserve">При применении </w:t>
      </w:r>
      <w:hyperlink r:id="rId18" w:tooltip="Приказ МЧС России от 24.11.2022 N 1173 &quot;Об утверждении требований к проектированию систем передачи извещений о пожаре&quot; (Зарегистрировано в Минюсте России 30.11.2022 N 71239) {КонсультантПлюс}">
        <w:r>
          <w:rPr>
            <w:color w:val="0000FF"/>
          </w:rPr>
          <w:t>приказа</w:t>
        </w:r>
      </w:hyperlink>
      <w:r>
        <w:t xml:space="preserve"> N 1173 следует учитывать положения </w:t>
      </w:r>
      <w:hyperlink r:id="rId19" w:tooltip="Федеральный закон от 22.07.2008 N 123-ФЗ (ред. от 31.07.2025) &quot;Технический регламент о требованиях пожарной безопасности&quot; {КонсультантПлюс}">
        <w:r>
          <w:rPr>
            <w:color w:val="0000FF"/>
          </w:rPr>
          <w:t>части 4 статьи 4</w:t>
        </w:r>
      </w:hyperlink>
      <w:r>
        <w:t xml:space="preserve"> Технического регламента, а также исходить из того, что его положения распространяются на подготовку проектных решений в отношении СПИ при реконструкции, капитальном ремонте, техническом перевооружении, изменении функционального назначения объектов защиты </w:t>
      </w:r>
      <w:r>
        <w:t>и (или) предусмотренных в них пожарных отсеков, а также в иных случаях, в том числе по заданию на проектирования.</w:t>
      </w:r>
      <w:proofErr w:type="gramEnd"/>
    </w:p>
    <w:p w:rsidR="00C22F90" w:rsidRDefault="002A6D69">
      <w:pPr>
        <w:pStyle w:val="ConsPlusNormal"/>
        <w:spacing w:before="240"/>
        <w:ind w:firstLine="540"/>
        <w:jc w:val="both"/>
      </w:pPr>
      <w:r>
        <w:t>Дополнительно сообщается, что организационные вопросы приема и дублирования сигналов о возникновении пожара в подразделения пожарной охраны, а</w:t>
      </w:r>
      <w:r>
        <w:t xml:space="preserve"> также вопросы взаимодействия с указанными подразделениями подлежат разрешению с учетом нормативных правовых актов субъектов Российской Федерации, принимаемых в соответствии со </w:t>
      </w:r>
      <w:hyperlink r:id="rId20" w:tooltip="Федеральный закон от 21.12.1994 N 69-ФЗ (ред. от 31.07.2025) &quot;О пожарной безопасности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21.12.1994 N 69-ФЗ "О пожарной безопасности".</w:t>
      </w:r>
    </w:p>
    <w:p w:rsidR="00C22F90" w:rsidRDefault="00C22F90">
      <w:pPr>
        <w:pStyle w:val="ConsPlusNormal"/>
        <w:jc w:val="both"/>
      </w:pPr>
    </w:p>
    <w:p w:rsidR="00C22F90" w:rsidRDefault="002A6D69">
      <w:pPr>
        <w:pStyle w:val="ConsPlusNormal"/>
        <w:jc w:val="right"/>
      </w:pPr>
      <w:r>
        <w:t>А.М.СУПРУНОВСКИЙ</w:t>
      </w:r>
    </w:p>
    <w:p w:rsidR="00C22F90" w:rsidRDefault="00C22F90">
      <w:pPr>
        <w:pStyle w:val="ConsPlusNormal"/>
        <w:jc w:val="both"/>
      </w:pPr>
    </w:p>
    <w:p w:rsidR="00C22F90" w:rsidRDefault="00C22F90">
      <w:pPr>
        <w:pStyle w:val="ConsPlusNormal"/>
        <w:jc w:val="both"/>
      </w:pPr>
    </w:p>
    <w:p w:rsidR="00C22F90" w:rsidRDefault="00C22F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22F9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69" w:rsidRDefault="002A6D69">
      <w:r>
        <w:separator/>
      </w:r>
    </w:p>
  </w:endnote>
  <w:endnote w:type="continuationSeparator" w:id="0">
    <w:p w:rsidR="002A6D69" w:rsidRDefault="002A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69" w:rsidRDefault="002A6D69">
      <w:r>
        <w:separator/>
      </w:r>
    </w:p>
  </w:footnote>
  <w:footnote w:type="continuationSeparator" w:id="0">
    <w:p w:rsidR="002A6D69" w:rsidRDefault="002A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F90"/>
    <w:rsid w:val="002A6D69"/>
    <w:rsid w:val="005501DC"/>
    <w:rsid w:val="00C2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501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01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01DC"/>
  </w:style>
  <w:style w:type="paragraph" w:styleId="a7">
    <w:name w:val="footer"/>
    <w:basedOn w:val="a"/>
    <w:link w:val="a8"/>
    <w:uiPriority w:val="99"/>
    <w:unhideWhenUsed/>
    <w:rsid w:val="005501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0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848&amp;date=01.04.2026&amp;dst=100010&amp;field=134&amp;demo=2" TargetMode="External"/><Relationship Id="rId13" Type="http://schemas.openxmlformats.org/officeDocument/2006/relationships/hyperlink" Target="https://login.consultant.ru/link/?req=doc&amp;base=LAW&amp;n=511695&amp;date=01.04.2026&amp;dst=102062&amp;field=134&amp;demo=2" TargetMode="External"/><Relationship Id="rId18" Type="http://schemas.openxmlformats.org/officeDocument/2006/relationships/hyperlink" Target="https://login.consultant.ru/link/?req=doc&amp;base=LAW&amp;n=432848&amp;date=01.04.2026&amp;demo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11695&amp;date=01.04.2026&amp;demo=2" TargetMode="External"/><Relationship Id="rId12" Type="http://schemas.openxmlformats.org/officeDocument/2006/relationships/hyperlink" Target="https://login.consultant.ru/link/?req=doc&amp;base=LAW&amp;n=432848&amp;date=01.04.2026&amp;demo=2" TargetMode="External"/><Relationship Id="rId17" Type="http://schemas.openxmlformats.org/officeDocument/2006/relationships/hyperlink" Target="https://login.consultant.ru/link/?req=doc&amp;base=LAW&amp;n=220831&amp;date=01.04.2026&amp;dst=100015&amp;field=134&amp;demo=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695&amp;date=01.04.2026&amp;demo=2" TargetMode="External"/><Relationship Id="rId20" Type="http://schemas.openxmlformats.org/officeDocument/2006/relationships/hyperlink" Target="https://login.consultant.ru/link/?req=doc&amp;base=LAW&amp;n=511661&amp;date=01.04.2026&amp;dst=100201&amp;field=134&amp;demo=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695&amp;date=01.04.2026&amp;dst=166&amp;field=134&amp;demo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695&amp;date=01.04.2026&amp;dst=165&amp;field=134&amp;demo=2" TargetMode="External"/><Relationship Id="rId10" Type="http://schemas.openxmlformats.org/officeDocument/2006/relationships/hyperlink" Target="https://login.consultant.ru/link/?req=doc&amp;base=LAW&amp;n=511695&amp;date=01.04.2026&amp;dst=165&amp;field=134&amp;demo=2" TargetMode="External"/><Relationship Id="rId19" Type="http://schemas.openxmlformats.org/officeDocument/2006/relationships/hyperlink" Target="https://login.consultant.ru/link/?req=doc&amp;base=LAW&amp;n=511695&amp;date=01.04.2026&amp;dst=101949&amp;field=134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695&amp;date=01.04.2026&amp;dst=165&amp;field=134&amp;demo=2" TargetMode="External"/><Relationship Id="rId14" Type="http://schemas.openxmlformats.org/officeDocument/2006/relationships/hyperlink" Target="https://login.consultant.ru/link/?req=doc&amp;base=LAW&amp;n=432848&amp;date=01.04.2026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1185</Words>
  <Characters>6761</Characters>
  <Application>Microsoft Office Word</Application>
  <DocSecurity>0</DocSecurity>
  <Lines>56</Lines>
  <Paragraphs>15</Paragraphs>
  <ScaleCrop>false</ScaleCrop>
  <Company>КонсультантПлюс Версия 4025.00.50</Company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27.03.2026 N 43-1730-19
"О порядке применения приказа МЧС России от 24.11.2022 N 1173"</dc:title>
  <cp:lastModifiedBy>ASDF</cp:lastModifiedBy>
  <cp:revision>2</cp:revision>
  <dcterms:created xsi:type="dcterms:W3CDTF">2026-04-01T13:01:00Z</dcterms:created>
  <dcterms:modified xsi:type="dcterms:W3CDTF">2026-04-01T13:04:00Z</dcterms:modified>
</cp:coreProperties>
</file>