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09F" w:rsidRPr="002E609F" w:rsidRDefault="002E609F" w:rsidP="002E609F">
      <w:pPr>
        <w:ind w:firstLine="0"/>
        <w:jc w:val="center"/>
        <w:textAlignment w:val="baseline"/>
        <w:outlineLvl w:val="0"/>
        <w:rPr>
          <w:rFonts w:eastAsia="Times New Roman"/>
          <w:b/>
          <w:bCs/>
          <w:color w:val="3B4256"/>
          <w:kern w:val="36"/>
          <w:sz w:val="28"/>
          <w:szCs w:val="24"/>
          <w:lang w:eastAsia="ru-RU"/>
        </w:rPr>
      </w:pPr>
      <w:r w:rsidRPr="002E609F">
        <w:rPr>
          <w:rFonts w:eastAsia="Times New Roman"/>
          <w:b/>
          <w:bCs/>
          <w:color w:val="3B4256"/>
          <w:kern w:val="36"/>
          <w:sz w:val="28"/>
          <w:szCs w:val="24"/>
          <w:lang w:eastAsia="ru-RU"/>
        </w:rPr>
        <w:t>Главное управление</w:t>
      </w:r>
      <w:r>
        <w:rPr>
          <w:rFonts w:eastAsia="Times New Roman"/>
          <w:b/>
          <w:bCs/>
          <w:color w:val="3B4256"/>
          <w:kern w:val="36"/>
          <w:sz w:val="28"/>
          <w:szCs w:val="24"/>
          <w:lang w:eastAsia="ru-RU"/>
        </w:rPr>
        <w:t xml:space="preserve"> </w:t>
      </w:r>
      <w:r w:rsidRPr="002E609F">
        <w:rPr>
          <w:rFonts w:eastAsia="Times New Roman"/>
          <w:b/>
          <w:bCs/>
          <w:color w:val="3B4256"/>
          <w:kern w:val="36"/>
          <w:sz w:val="28"/>
          <w:szCs w:val="24"/>
          <w:lang w:eastAsia="ru-RU"/>
        </w:rPr>
        <w:t>МЧС России</w:t>
      </w:r>
    </w:p>
    <w:p w:rsidR="002E609F" w:rsidRDefault="002E609F" w:rsidP="002E609F">
      <w:pPr>
        <w:ind w:firstLine="0"/>
        <w:jc w:val="center"/>
        <w:textAlignment w:val="baseline"/>
        <w:outlineLvl w:val="0"/>
        <w:rPr>
          <w:rFonts w:eastAsia="Times New Roman"/>
          <w:b/>
          <w:bCs/>
          <w:color w:val="3B4256"/>
          <w:kern w:val="36"/>
          <w:sz w:val="28"/>
          <w:szCs w:val="24"/>
          <w:lang w:eastAsia="ru-RU"/>
        </w:rPr>
      </w:pPr>
      <w:r w:rsidRPr="002E609F">
        <w:rPr>
          <w:rFonts w:eastAsia="Times New Roman"/>
          <w:b/>
          <w:bCs/>
          <w:color w:val="3B4256"/>
          <w:kern w:val="36"/>
          <w:sz w:val="28"/>
          <w:szCs w:val="24"/>
          <w:lang w:eastAsia="ru-RU"/>
        </w:rPr>
        <w:t>по Республике Саха (Якутия)</w:t>
      </w:r>
    </w:p>
    <w:p w:rsidR="002E609F" w:rsidRDefault="002E609F" w:rsidP="002E609F">
      <w:pPr>
        <w:ind w:firstLine="0"/>
        <w:jc w:val="center"/>
        <w:textAlignment w:val="baseline"/>
        <w:outlineLvl w:val="0"/>
        <w:rPr>
          <w:rFonts w:eastAsia="Times New Roman"/>
          <w:b/>
          <w:bCs/>
          <w:color w:val="3B4256"/>
          <w:kern w:val="36"/>
          <w:sz w:val="28"/>
          <w:szCs w:val="24"/>
          <w:lang w:eastAsia="ru-RU"/>
        </w:rPr>
      </w:pPr>
      <w:hyperlink r:id="rId5" w:history="1">
        <w:r w:rsidRPr="009E2789">
          <w:rPr>
            <w:rStyle w:val="a6"/>
            <w:rFonts w:eastAsia="Times New Roman"/>
            <w:b/>
            <w:bCs/>
            <w:kern w:val="36"/>
            <w:sz w:val="28"/>
            <w:szCs w:val="24"/>
            <w:lang w:eastAsia="ru-RU"/>
          </w:rPr>
          <w:t>https://14.mchs.gov.ru/deyatelnost/press-centr/novosti/5671969</w:t>
        </w:r>
      </w:hyperlink>
    </w:p>
    <w:p w:rsidR="002E609F" w:rsidRDefault="002E609F" w:rsidP="002E609F">
      <w:pPr>
        <w:ind w:firstLine="0"/>
        <w:jc w:val="center"/>
        <w:textAlignment w:val="baseline"/>
        <w:outlineLvl w:val="0"/>
        <w:rPr>
          <w:rFonts w:eastAsia="Times New Roman"/>
          <w:b/>
          <w:bCs/>
          <w:color w:val="3B4256"/>
          <w:kern w:val="36"/>
          <w:sz w:val="28"/>
          <w:szCs w:val="24"/>
          <w:lang w:eastAsia="ru-RU"/>
        </w:rPr>
      </w:pPr>
    </w:p>
    <w:p w:rsidR="002E609F" w:rsidRDefault="002E609F" w:rsidP="002E609F">
      <w:pPr>
        <w:ind w:firstLine="0"/>
        <w:jc w:val="center"/>
        <w:textAlignment w:val="baseline"/>
        <w:outlineLvl w:val="0"/>
        <w:rPr>
          <w:rFonts w:eastAsia="Times New Roman"/>
          <w:b/>
          <w:bCs/>
          <w:color w:val="3B4256"/>
          <w:kern w:val="36"/>
          <w:sz w:val="28"/>
          <w:szCs w:val="24"/>
          <w:lang w:eastAsia="ru-RU"/>
        </w:rPr>
      </w:pPr>
      <w:bookmarkStart w:id="0" w:name="_GoBack"/>
      <w:r w:rsidRPr="002E609F">
        <w:rPr>
          <w:rFonts w:eastAsia="Times New Roman"/>
          <w:b/>
          <w:bCs/>
          <w:color w:val="3B4256"/>
          <w:kern w:val="36"/>
          <w:sz w:val="28"/>
          <w:szCs w:val="24"/>
          <w:lang w:eastAsia="ru-RU"/>
        </w:rPr>
        <w:t>Изменения в законе о гражданской обороне:</w:t>
      </w:r>
      <w:bookmarkEnd w:id="0"/>
      <w:r w:rsidRPr="002E609F">
        <w:rPr>
          <w:rFonts w:eastAsia="Times New Roman"/>
          <w:b/>
          <w:bCs/>
          <w:color w:val="3B4256"/>
          <w:kern w:val="36"/>
          <w:sz w:val="28"/>
          <w:szCs w:val="24"/>
          <w:lang w:eastAsia="ru-RU"/>
        </w:rPr>
        <w:t xml:space="preserve"> </w:t>
      </w:r>
    </w:p>
    <w:p w:rsidR="002E609F" w:rsidRPr="002E609F" w:rsidRDefault="002E609F" w:rsidP="002E609F">
      <w:pPr>
        <w:ind w:firstLine="0"/>
        <w:jc w:val="center"/>
        <w:textAlignment w:val="baseline"/>
        <w:outlineLvl w:val="0"/>
        <w:rPr>
          <w:rFonts w:eastAsia="Times New Roman"/>
          <w:b/>
          <w:bCs/>
          <w:color w:val="3B4256"/>
          <w:kern w:val="36"/>
          <w:sz w:val="28"/>
          <w:szCs w:val="24"/>
          <w:lang w:eastAsia="ru-RU"/>
        </w:rPr>
      </w:pPr>
      <w:r w:rsidRPr="002E609F">
        <w:rPr>
          <w:rFonts w:eastAsia="Times New Roman"/>
          <w:b/>
          <w:bCs/>
          <w:color w:val="3B4256"/>
          <w:kern w:val="36"/>
          <w:sz w:val="28"/>
          <w:szCs w:val="24"/>
          <w:lang w:eastAsia="ru-RU"/>
        </w:rPr>
        <w:t>что важно знать органам местного самоуправления</w:t>
      </w:r>
    </w:p>
    <w:p w:rsidR="002E609F" w:rsidRPr="002E609F" w:rsidRDefault="002E609F" w:rsidP="002E609F">
      <w:pPr>
        <w:ind w:firstLine="0"/>
        <w:jc w:val="center"/>
        <w:textAlignment w:val="baseline"/>
        <w:rPr>
          <w:rFonts w:eastAsia="Times New Roman"/>
          <w:color w:val="3B4256"/>
          <w:sz w:val="28"/>
          <w:szCs w:val="24"/>
          <w:lang w:eastAsia="ru-RU"/>
        </w:rPr>
      </w:pPr>
    </w:p>
    <w:p w:rsidR="002E609F" w:rsidRPr="002E609F" w:rsidRDefault="002E609F" w:rsidP="002E609F">
      <w:pPr>
        <w:textAlignment w:val="baseline"/>
        <w:rPr>
          <w:rFonts w:eastAsia="Times New Roman"/>
          <w:color w:val="3B4256"/>
          <w:szCs w:val="24"/>
          <w:lang w:eastAsia="ru-RU"/>
        </w:rPr>
      </w:pPr>
      <w:r w:rsidRPr="002E609F">
        <w:rPr>
          <w:rFonts w:eastAsia="Times New Roman"/>
          <w:b/>
          <w:szCs w:val="24"/>
          <w:lang w:eastAsia="ru-RU"/>
        </w:rPr>
        <w:t>С 20 января 2026 года</w:t>
      </w:r>
      <w:r w:rsidRPr="002E609F">
        <w:rPr>
          <w:rFonts w:eastAsia="Times New Roman"/>
          <w:szCs w:val="24"/>
          <w:lang w:eastAsia="ru-RU"/>
        </w:rPr>
        <w:t xml:space="preserve"> </w:t>
      </w:r>
      <w:r w:rsidRPr="002E609F">
        <w:rPr>
          <w:rFonts w:eastAsia="Times New Roman"/>
          <w:color w:val="3B4256"/>
          <w:szCs w:val="24"/>
          <w:lang w:eastAsia="ru-RU"/>
        </w:rPr>
        <w:t>вступили в силу значительные изменения в Федеральном законе «О гражданской обороне». Они приняты Президентом РФ в июле 2025 года и напрямую затрагивают работу органов местного самоуправления. Раньше гражданская оборона понималась как защита от опасностей при военных конфликтах и ЧС природного/техногенного характера. </w:t>
      </w:r>
    </w:p>
    <w:p w:rsidR="002E609F" w:rsidRDefault="002E609F" w:rsidP="002E609F">
      <w:pPr>
        <w:textAlignment w:val="baseline"/>
        <w:rPr>
          <w:rFonts w:eastAsia="Times New Roman"/>
          <w:color w:val="3B4256"/>
          <w:szCs w:val="24"/>
          <w:lang w:eastAsia="ru-RU"/>
        </w:rPr>
      </w:pPr>
    </w:p>
    <w:p w:rsidR="002E609F" w:rsidRPr="002E609F" w:rsidRDefault="002E609F" w:rsidP="002E609F">
      <w:pPr>
        <w:textAlignment w:val="baseline"/>
        <w:rPr>
          <w:rFonts w:eastAsia="Times New Roman"/>
          <w:color w:val="3B4256"/>
          <w:szCs w:val="24"/>
          <w:lang w:eastAsia="ru-RU"/>
        </w:rPr>
      </w:pPr>
      <w:r w:rsidRPr="002E609F">
        <w:rPr>
          <w:rFonts w:eastAsia="Times New Roman"/>
          <w:color w:val="3B4256"/>
          <w:szCs w:val="24"/>
          <w:lang w:eastAsia="ru-RU"/>
        </w:rPr>
        <w:t>Теперь акцент смещён на военные угрозы:</w:t>
      </w:r>
    </w:p>
    <w:p w:rsidR="002E609F" w:rsidRDefault="002E609F" w:rsidP="002E609F">
      <w:pPr>
        <w:textAlignment w:val="baseline"/>
        <w:rPr>
          <w:rFonts w:eastAsia="Times New Roman"/>
          <w:color w:val="3B4256"/>
          <w:szCs w:val="24"/>
          <w:lang w:eastAsia="ru-RU"/>
        </w:rPr>
      </w:pPr>
    </w:p>
    <w:p w:rsidR="002E609F" w:rsidRPr="002E609F" w:rsidRDefault="002E609F" w:rsidP="002E609F">
      <w:pPr>
        <w:textAlignment w:val="baseline"/>
        <w:rPr>
          <w:rFonts w:eastAsia="Times New Roman"/>
          <w:color w:val="3B4256"/>
          <w:szCs w:val="24"/>
          <w:lang w:eastAsia="ru-RU"/>
        </w:rPr>
      </w:pPr>
      <w:r w:rsidRPr="002E609F">
        <w:rPr>
          <w:rFonts w:eastAsia="Times New Roman"/>
          <w:color w:val="3B4256"/>
          <w:szCs w:val="24"/>
          <w:lang w:eastAsia="ru-RU"/>
        </w:rPr>
        <w:t>- Было: «Гражданская оборона — система мероприятий по подготовке к защите и по защите населения…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характера».</w:t>
      </w:r>
    </w:p>
    <w:p w:rsidR="002E609F" w:rsidRDefault="002E609F" w:rsidP="002E609F">
      <w:pPr>
        <w:textAlignment w:val="baseline"/>
        <w:rPr>
          <w:rFonts w:eastAsia="Times New Roman"/>
          <w:color w:val="3B4256"/>
          <w:szCs w:val="24"/>
          <w:lang w:eastAsia="ru-RU"/>
        </w:rPr>
      </w:pPr>
    </w:p>
    <w:p w:rsidR="002E609F" w:rsidRPr="002E609F" w:rsidRDefault="002E609F" w:rsidP="002E609F">
      <w:pPr>
        <w:textAlignment w:val="baseline"/>
        <w:rPr>
          <w:rFonts w:eastAsia="Times New Roman"/>
          <w:color w:val="3B4256"/>
          <w:szCs w:val="24"/>
          <w:lang w:eastAsia="ru-RU"/>
        </w:rPr>
      </w:pPr>
      <w:r w:rsidRPr="002E609F">
        <w:rPr>
          <w:rFonts w:eastAsia="Times New Roman"/>
          <w:color w:val="3B4256"/>
          <w:szCs w:val="24"/>
          <w:lang w:eastAsia="ru-RU"/>
        </w:rPr>
        <w:t>- Стало: «Гражданская оборона — система мероприятий по подготовке к защите и по защите населения… от опасностей, возникающих в период мобилизации, в период действия военного положения, в военное время».</w:t>
      </w:r>
    </w:p>
    <w:p w:rsidR="002E609F" w:rsidRDefault="002E609F" w:rsidP="002E609F">
      <w:pPr>
        <w:textAlignment w:val="baseline"/>
        <w:rPr>
          <w:rFonts w:eastAsia="Times New Roman"/>
          <w:color w:val="3B4256"/>
          <w:szCs w:val="24"/>
          <w:lang w:eastAsia="ru-RU"/>
        </w:rPr>
      </w:pPr>
    </w:p>
    <w:p w:rsidR="002E609F" w:rsidRPr="002E609F" w:rsidRDefault="002E609F" w:rsidP="002E609F">
      <w:pPr>
        <w:textAlignment w:val="baseline"/>
        <w:rPr>
          <w:rFonts w:eastAsia="Times New Roman"/>
          <w:color w:val="3B4256"/>
          <w:szCs w:val="24"/>
          <w:lang w:eastAsia="ru-RU"/>
        </w:rPr>
      </w:pPr>
      <w:r w:rsidRPr="002E609F">
        <w:rPr>
          <w:rFonts w:eastAsia="Times New Roman"/>
          <w:color w:val="3B4256"/>
          <w:szCs w:val="24"/>
          <w:lang w:eastAsia="ru-RU"/>
        </w:rPr>
        <w:t>Также введены новые понятия:</w:t>
      </w:r>
    </w:p>
    <w:p w:rsidR="002E609F" w:rsidRPr="002E609F" w:rsidRDefault="002E609F" w:rsidP="002E609F">
      <w:pPr>
        <w:textAlignment w:val="baseline"/>
        <w:rPr>
          <w:rFonts w:eastAsia="Times New Roman"/>
          <w:color w:val="3B4256"/>
          <w:szCs w:val="24"/>
          <w:lang w:eastAsia="ru-RU"/>
        </w:rPr>
      </w:pPr>
      <w:r w:rsidRPr="002E609F">
        <w:rPr>
          <w:rFonts w:eastAsia="Times New Roman"/>
          <w:color w:val="3B4256"/>
          <w:szCs w:val="24"/>
          <w:lang w:eastAsia="ru-RU"/>
        </w:rPr>
        <w:t>- «Руководство гражданской обороной» — деятельность органов власти по планированию и проведению мероприятий;</w:t>
      </w:r>
    </w:p>
    <w:p w:rsidR="002E609F" w:rsidRPr="002E609F" w:rsidRDefault="002E609F" w:rsidP="002E609F">
      <w:pPr>
        <w:textAlignment w:val="baseline"/>
        <w:rPr>
          <w:rFonts w:eastAsia="Times New Roman"/>
          <w:color w:val="3B4256"/>
          <w:szCs w:val="24"/>
          <w:lang w:eastAsia="ru-RU"/>
        </w:rPr>
      </w:pPr>
      <w:r w:rsidRPr="002E609F">
        <w:rPr>
          <w:rFonts w:eastAsia="Times New Roman"/>
          <w:color w:val="3B4256"/>
          <w:szCs w:val="24"/>
          <w:lang w:eastAsia="ru-RU"/>
        </w:rPr>
        <w:t>- «Эвакуация населения» — организованное перемещение из зон опасностей;</w:t>
      </w:r>
    </w:p>
    <w:p w:rsidR="002E609F" w:rsidRPr="002E609F" w:rsidRDefault="002E609F" w:rsidP="002E609F">
      <w:pPr>
        <w:textAlignment w:val="baseline"/>
        <w:rPr>
          <w:rFonts w:eastAsia="Times New Roman"/>
          <w:color w:val="3B4256"/>
          <w:szCs w:val="24"/>
          <w:lang w:eastAsia="ru-RU"/>
        </w:rPr>
      </w:pPr>
      <w:r w:rsidRPr="002E609F">
        <w:rPr>
          <w:rFonts w:eastAsia="Times New Roman"/>
          <w:color w:val="3B4256"/>
          <w:szCs w:val="24"/>
          <w:lang w:eastAsia="ru-RU"/>
        </w:rPr>
        <w:t>- «Защита материальных и культурных ценностей» — меры по предотвращению их утраты.</w:t>
      </w:r>
    </w:p>
    <w:p w:rsidR="002E609F" w:rsidRDefault="002E609F" w:rsidP="002E609F">
      <w:pPr>
        <w:textAlignment w:val="baseline"/>
        <w:rPr>
          <w:rFonts w:eastAsia="Times New Roman"/>
          <w:color w:val="3B4256"/>
          <w:szCs w:val="24"/>
          <w:lang w:eastAsia="ru-RU"/>
        </w:rPr>
      </w:pPr>
    </w:p>
    <w:p w:rsidR="002E609F" w:rsidRPr="002E609F" w:rsidRDefault="002E609F" w:rsidP="002E609F">
      <w:pPr>
        <w:textAlignment w:val="baseline"/>
        <w:rPr>
          <w:rFonts w:eastAsia="Times New Roman"/>
          <w:color w:val="3B4256"/>
          <w:szCs w:val="24"/>
          <w:lang w:eastAsia="ru-RU"/>
        </w:rPr>
      </w:pPr>
      <w:r w:rsidRPr="002E609F">
        <w:rPr>
          <w:rFonts w:eastAsia="Times New Roman"/>
          <w:color w:val="3B4256"/>
          <w:szCs w:val="24"/>
          <w:lang w:eastAsia="ru-RU"/>
        </w:rPr>
        <w:t xml:space="preserve">Из задач гражданской обороны исключены прямые ссылки на ЧС природного и техногенного характера. Пример изменения: </w:t>
      </w:r>
      <w:proofErr w:type="gramStart"/>
      <w:r w:rsidRPr="002E609F">
        <w:rPr>
          <w:rFonts w:eastAsia="Times New Roman"/>
          <w:color w:val="3B4256"/>
          <w:szCs w:val="24"/>
          <w:lang w:eastAsia="ru-RU"/>
        </w:rPr>
        <w:t>вместо</w:t>
      </w:r>
      <w:proofErr w:type="gramEnd"/>
      <w:r w:rsidRPr="002E609F">
        <w:rPr>
          <w:rFonts w:eastAsia="Times New Roman"/>
          <w:color w:val="3B4256"/>
          <w:szCs w:val="24"/>
          <w:lang w:eastAsia="ru-RU"/>
        </w:rPr>
        <w:t xml:space="preserve"> «</w:t>
      </w:r>
      <w:proofErr w:type="gramStart"/>
      <w:r w:rsidRPr="002E609F">
        <w:rPr>
          <w:rFonts w:eastAsia="Times New Roman"/>
          <w:color w:val="3B4256"/>
          <w:szCs w:val="24"/>
          <w:lang w:eastAsia="ru-RU"/>
        </w:rPr>
        <w:t>борьба</w:t>
      </w:r>
      <w:proofErr w:type="gramEnd"/>
      <w:r w:rsidRPr="002E609F">
        <w:rPr>
          <w:rFonts w:eastAsia="Times New Roman"/>
          <w:color w:val="3B4256"/>
          <w:szCs w:val="24"/>
          <w:lang w:eastAsia="ru-RU"/>
        </w:rPr>
        <w:t xml:space="preserve"> с пожарами, возникшими при военных конфликтах…» теперь — «борьба с пожарами, произошедшими в результате возникновения опасностей».</w:t>
      </w:r>
    </w:p>
    <w:p w:rsidR="002E609F" w:rsidRDefault="002E609F" w:rsidP="002E609F">
      <w:pPr>
        <w:textAlignment w:val="baseline"/>
        <w:rPr>
          <w:rFonts w:eastAsia="Times New Roman"/>
          <w:color w:val="3B4256"/>
          <w:szCs w:val="24"/>
          <w:lang w:eastAsia="ru-RU"/>
        </w:rPr>
      </w:pPr>
    </w:p>
    <w:p w:rsidR="002E609F" w:rsidRPr="002E609F" w:rsidRDefault="002E609F" w:rsidP="002E609F">
      <w:pPr>
        <w:textAlignment w:val="baseline"/>
        <w:rPr>
          <w:rFonts w:eastAsia="Times New Roman"/>
          <w:color w:val="3B4256"/>
          <w:szCs w:val="24"/>
          <w:lang w:eastAsia="ru-RU"/>
        </w:rPr>
      </w:pPr>
      <w:r w:rsidRPr="002E609F">
        <w:rPr>
          <w:rFonts w:eastAsia="Times New Roman"/>
          <w:color w:val="3B4256"/>
          <w:szCs w:val="24"/>
          <w:lang w:eastAsia="ru-RU"/>
        </w:rPr>
        <w:t xml:space="preserve">Перестроена система координации, ранее этими вопросами занимались отдельные специалисты, теперь — целые комиссии. На федеральном уровне координацию осуществляет Правительственная комиссия по ЧС. На </w:t>
      </w:r>
      <w:proofErr w:type="gramStart"/>
      <w:r w:rsidRPr="002E609F">
        <w:rPr>
          <w:rFonts w:eastAsia="Times New Roman"/>
          <w:color w:val="3B4256"/>
          <w:szCs w:val="24"/>
          <w:lang w:eastAsia="ru-RU"/>
        </w:rPr>
        <w:t>региональном</w:t>
      </w:r>
      <w:proofErr w:type="gramEnd"/>
      <w:r w:rsidRPr="002E609F">
        <w:rPr>
          <w:rFonts w:eastAsia="Times New Roman"/>
          <w:color w:val="3B4256"/>
          <w:szCs w:val="24"/>
          <w:lang w:eastAsia="ru-RU"/>
        </w:rPr>
        <w:t xml:space="preserve"> — комиссии субъектов РФ по предупреждению и ликвидации ЧС и обеспечению пожарной безопасности. Центры управления в кризисных ситуациях обеспечивают информационное взаимодействие.</w:t>
      </w:r>
    </w:p>
    <w:p w:rsidR="002E609F" w:rsidRDefault="002E609F" w:rsidP="002E609F">
      <w:pPr>
        <w:textAlignment w:val="baseline"/>
        <w:rPr>
          <w:rFonts w:eastAsia="Times New Roman"/>
          <w:color w:val="3B4256"/>
          <w:szCs w:val="24"/>
          <w:lang w:eastAsia="ru-RU"/>
        </w:rPr>
      </w:pPr>
    </w:p>
    <w:p w:rsidR="002E609F" w:rsidRPr="002E609F" w:rsidRDefault="002E609F" w:rsidP="002E609F">
      <w:pPr>
        <w:textAlignment w:val="baseline"/>
        <w:rPr>
          <w:rFonts w:eastAsia="Times New Roman"/>
          <w:color w:val="3B4256"/>
          <w:szCs w:val="24"/>
          <w:lang w:eastAsia="ru-RU"/>
        </w:rPr>
      </w:pPr>
      <w:r w:rsidRPr="002E609F">
        <w:rPr>
          <w:rFonts w:eastAsia="Times New Roman"/>
          <w:color w:val="3B4256"/>
          <w:szCs w:val="24"/>
          <w:lang w:eastAsia="ru-RU"/>
        </w:rPr>
        <w:t>Введение планов гражданской обороны в субъектах РФ начинается с момента их утверждения по предложению федерального органа. При введении общефедерального плана субъекты действуют в его рамках. Высшие должностные лица субъектов РФ теперь вправе вводить планы ГО и защиты населения — раньше это было прерогативой Президента РФ. Порядок финансового обеспечения региональных мероприятий и их перечень устанавливаются Правительством РФ.</w:t>
      </w:r>
    </w:p>
    <w:p w:rsidR="002E609F" w:rsidRDefault="002E609F" w:rsidP="002E609F">
      <w:pPr>
        <w:textAlignment w:val="baseline"/>
        <w:rPr>
          <w:rFonts w:eastAsia="Times New Roman"/>
          <w:color w:val="3B4256"/>
          <w:szCs w:val="24"/>
          <w:lang w:eastAsia="ru-RU"/>
        </w:rPr>
      </w:pPr>
    </w:p>
    <w:p w:rsidR="002E609F" w:rsidRPr="002E609F" w:rsidRDefault="002E609F" w:rsidP="002E609F">
      <w:pPr>
        <w:textAlignment w:val="baseline"/>
        <w:rPr>
          <w:rFonts w:eastAsia="Times New Roman"/>
          <w:color w:val="3B4256"/>
          <w:szCs w:val="24"/>
          <w:lang w:eastAsia="ru-RU"/>
        </w:rPr>
      </w:pPr>
      <w:r w:rsidRPr="002E609F">
        <w:rPr>
          <w:rFonts w:eastAsia="Times New Roman"/>
          <w:color w:val="3B4256"/>
          <w:szCs w:val="24"/>
          <w:lang w:eastAsia="ru-RU"/>
        </w:rPr>
        <w:lastRenderedPageBreak/>
        <w:t>Уточнено, что спасательные службы создаются на нештатной основе и привлекаются для мероприятий по гражданской обороне. Организации с категорией по ГО должны формировать нештатные формирования для выполнения мероприятий ГО. Опасные производственные объекты создают нештатные аварийно</w:t>
      </w:r>
      <w:r w:rsidRPr="002E609F">
        <w:rPr>
          <w:rFonts w:eastAsia="Times New Roman"/>
          <w:color w:val="3B4256"/>
          <w:szCs w:val="24"/>
          <w:lang w:eastAsia="ru-RU"/>
        </w:rPr>
        <w:noBreakHyphen/>
        <w:t>спасательные формирования.</w:t>
      </w:r>
    </w:p>
    <w:p w:rsidR="002E609F" w:rsidRDefault="002E609F" w:rsidP="002E609F">
      <w:pPr>
        <w:textAlignment w:val="baseline"/>
        <w:rPr>
          <w:rFonts w:eastAsia="Times New Roman"/>
          <w:color w:val="3B4256"/>
          <w:szCs w:val="24"/>
          <w:lang w:eastAsia="ru-RU"/>
        </w:rPr>
      </w:pPr>
    </w:p>
    <w:p w:rsidR="002E609F" w:rsidRPr="002E609F" w:rsidRDefault="002E609F" w:rsidP="002E609F">
      <w:pPr>
        <w:textAlignment w:val="baseline"/>
        <w:rPr>
          <w:rFonts w:eastAsia="Times New Roman"/>
          <w:color w:val="3B4256"/>
          <w:szCs w:val="24"/>
          <w:lang w:eastAsia="ru-RU"/>
        </w:rPr>
      </w:pPr>
      <w:r w:rsidRPr="002E609F">
        <w:rPr>
          <w:rFonts w:eastAsia="Times New Roman"/>
          <w:color w:val="3B4256"/>
          <w:szCs w:val="24"/>
          <w:lang w:eastAsia="ru-RU"/>
        </w:rPr>
        <w:t>Основные тенденции изменений: </w:t>
      </w:r>
    </w:p>
    <w:p w:rsidR="002E609F" w:rsidRPr="002E609F" w:rsidRDefault="002E609F" w:rsidP="002E609F">
      <w:pPr>
        <w:textAlignment w:val="baseline"/>
        <w:rPr>
          <w:rFonts w:eastAsia="Times New Roman"/>
          <w:color w:val="3B4256"/>
          <w:szCs w:val="24"/>
          <w:lang w:eastAsia="ru-RU"/>
        </w:rPr>
      </w:pPr>
      <w:r w:rsidRPr="002E609F">
        <w:rPr>
          <w:rFonts w:eastAsia="Times New Roman"/>
          <w:color w:val="3B4256"/>
          <w:szCs w:val="24"/>
          <w:lang w:eastAsia="ru-RU"/>
        </w:rPr>
        <w:t>- Смещение фокуса — гражданская оборона теперь ориентирована преимущественно на военные угрозы (мобилизация, военное положение).</w:t>
      </w:r>
    </w:p>
    <w:p w:rsidR="002E609F" w:rsidRPr="002E609F" w:rsidRDefault="002E609F" w:rsidP="002E609F">
      <w:pPr>
        <w:textAlignment w:val="baseline"/>
        <w:rPr>
          <w:rFonts w:eastAsia="Times New Roman"/>
          <w:color w:val="3B4256"/>
          <w:szCs w:val="24"/>
          <w:lang w:eastAsia="ru-RU"/>
        </w:rPr>
      </w:pPr>
      <w:r w:rsidRPr="002E609F">
        <w:rPr>
          <w:rFonts w:eastAsia="Times New Roman"/>
          <w:color w:val="3B4256"/>
          <w:szCs w:val="24"/>
          <w:lang w:eastAsia="ru-RU"/>
        </w:rPr>
        <w:t>- Усиление централизации — чётко прописаны механизмы координации между федеральными и региональными органами.</w:t>
      </w:r>
    </w:p>
    <w:p w:rsidR="002E609F" w:rsidRPr="002E609F" w:rsidRDefault="002E609F" w:rsidP="002E609F">
      <w:pPr>
        <w:textAlignment w:val="baseline"/>
        <w:rPr>
          <w:rFonts w:eastAsia="Times New Roman"/>
          <w:color w:val="3B4256"/>
          <w:szCs w:val="24"/>
          <w:lang w:eastAsia="ru-RU"/>
        </w:rPr>
      </w:pPr>
      <w:r w:rsidRPr="002E609F">
        <w:rPr>
          <w:rFonts w:eastAsia="Times New Roman"/>
          <w:color w:val="3B4256"/>
          <w:szCs w:val="24"/>
          <w:lang w:eastAsia="ru-RU"/>
        </w:rPr>
        <w:t>- Упрощение терминологии — устранена избыточность в определениях, связанных с ЧС.</w:t>
      </w:r>
    </w:p>
    <w:p w:rsidR="00DA085D" w:rsidRPr="002E609F" w:rsidRDefault="00DA085D" w:rsidP="002E609F">
      <w:pPr>
        <w:rPr>
          <w:szCs w:val="24"/>
        </w:rPr>
      </w:pPr>
    </w:p>
    <w:sectPr w:rsidR="00DA085D" w:rsidRPr="002E609F" w:rsidSect="008465D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09F"/>
    <w:rsid w:val="002B4BE6"/>
    <w:rsid w:val="002E609F"/>
    <w:rsid w:val="008465D2"/>
    <w:rsid w:val="009701B8"/>
    <w:rsid w:val="00B1626C"/>
    <w:rsid w:val="00D74482"/>
    <w:rsid w:val="00DA085D"/>
    <w:rsid w:val="00F3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609F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09F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E609F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60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09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E60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609F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09F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E609F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60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09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E60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7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0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32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4.mchs.gov.ru/deyatelnost/press-centr/novosti/56719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ASDF</dc:creator>
  <cp:lastModifiedBy>ASDF</cp:lastModifiedBy>
  <cp:revision>1</cp:revision>
  <dcterms:created xsi:type="dcterms:W3CDTF">2026-03-04T11:37:00Z</dcterms:created>
  <dcterms:modified xsi:type="dcterms:W3CDTF">2026-03-04T11:41:00Z</dcterms:modified>
</cp:coreProperties>
</file>