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C142A" w14:textId="77777777" w:rsidR="00F94ACD" w:rsidRDefault="00F94ACD">
      <w:pPr>
        <w:pStyle w:val="ConsPlusNormal"/>
        <w:jc w:val="both"/>
        <w:outlineLvl w:val="0"/>
      </w:pPr>
    </w:p>
    <w:p w14:paraId="4A4E6187" w14:textId="77777777" w:rsidR="00F94ACD" w:rsidRDefault="001770B0">
      <w:pPr>
        <w:pStyle w:val="ConsPlusTitle"/>
        <w:jc w:val="center"/>
      </w:pPr>
      <w:r>
        <w:t>МИНИСТЕРСТВО РОССИЙСКОЙ ФЕДЕРАЦИИ ПО ДЕЛАМ ГРАЖДАНСКОЙ</w:t>
      </w:r>
    </w:p>
    <w:p w14:paraId="3C0062D1" w14:textId="77777777" w:rsidR="00F94ACD" w:rsidRDefault="001770B0">
      <w:pPr>
        <w:pStyle w:val="ConsPlusTitle"/>
        <w:jc w:val="center"/>
      </w:pPr>
      <w:r>
        <w:t>ОБОРОНЫ, ЧРЕЗВЫЧАЙНЫМ СИТУАЦИЯМ И ЛИКВИДАЦИИ</w:t>
      </w:r>
    </w:p>
    <w:p w14:paraId="75DBBF8B" w14:textId="77777777" w:rsidR="00F94ACD" w:rsidRDefault="001770B0">
      <w:pPr>
        <w:pStyle w:val="ConsPlusTitle"/>
        <w:jc w:val="center"/>
      </w:pPr>
      <w:r>
        <w:t>ПОСЛЕДСТВИЙ СТИХИЙНЫХ БЕДСТВИЙ</w:t>
      </w:r>
    </w:p>
    <w:p w14:paraId="0A502C9D" w14:textId="77777777" w:rsidR="00F94ACD" w:rsidRDefault="00F94ACD">
      <w:pPr>
        <w:pStyle w:val="ConsPlusTitle"/>
        <w:jc w:val="center"/>
      </w:pPr>
    </w:p>
    <w:p w14:paraId="40CC32EA" w14:textId="77777777" w:rsidR="00F94ACD" w:rsidRDefault="001770B0">
      <w:pPr>
        <w:pStyle w:val="ConsPlusTitle"/>
        <w:jc w:val="center"/>
      </w:pPr>
      <w:r>
        <w:t>ПИСЬМО</w:t>
      </w:r>
    </w:p>
    <w:p w14:paraId="74CA1777" w14:textId="77777777" w:rsidR="00F94ACD" w:rsidRDefault="001770B0">
      <w:pPr>
        <w:pStyle w:val="ConsPlusTitle"/>
        <w:jc w:val="center"/>
      </w:pPr>
      <w:r>
        <w:t>от 24 декабря 2025 г. N 43-8040-19</w:t>
      </w:r>
    </w:p>
    <w:p w14:paraId="07F335FB" w14:textId="77777777" w:rsidR="00F94ACD" w:rsidRDefault="00F94ACD">
      <w:pPr>
        <w:pStyle w:val="ConsPlusTitle"/>
        <w:ind w:firstLine="540"/>
        <w:jc w:val="both"/>
      </w:pPr>
    </w:p>
    <w:p w14:paraId="186A9A81" w14:textId="77777777" w:rsidR="00F94ACD" w:rsidRDefault="001770B0">
      <w:pPr>
        <w:pStyle w:val="ConsPlusTitle"/>
        <w:jc w:val="center"/>
      </w:pPr>
      <w:r>
        <w:t>О СТАНДАРТАХ</w:t>
      </w:r>
    </w:p>
    <w:p w14:paraId="4CB602CE" w14:textId="77777777" w:rsidR="00F94ACD" w:rsidRDefault="001770B0">
      <w:pPr>
        <w:pStyle w:val="ConsPlusTitle"/>
        <w:jc w:val="center"/>
      </w:pPr>
      <w:r>
        <w:t>ОРГАНИЗАЦИЙ, СОДЕРЖАЩИХ ТРЕБОВАНИЯ ПОЖАРНОЙ БЕЗОПАСНОСТИ</w:t>
      </w:r>
    </w:p>
    <w:p w14:paraId="7D967EA9" w14:textId="77777777" w:rsidR="00F94ACD" w:rsidRDefault="00F94ACD">
      <w:pPr>
        <w:pStyle w:val="ConsPlusNormal"/>
        <w:ind w:firstLine="540"/>
        <w:jc w:val="both"/>
      </w:pPr>
    </w:p>
    <w:p w14:paraId="118613D5" w14:textId="77777777" w:rsidR="00F94ACD" w:rsidRDefault="001770B0">
      <w:pPr>
        <w:pStyle w:val="ConsPlusNormal"/>
        <w:ind w:firstLine="540"/>
        <w:jc w:val="both"/>
      </w:pPr>
      <w:r>
        <w:t>В целях исключения неоднозначного толкования порядка разработки, согласования и применения стандартов организаций, содержащих требования пожарной безопасности (далее - СТО), а также обеспечения един</w:t>
      </w:r>
      <w:r>
        <w:t>ообразного подхода к их использованию в системе обеспечения пожарной безопасности объектов защиты Министерство Российской Федерации по делам гражданской обороны, чрезвычайным ситуациям и ликвидации последствий стихийных бедствий разъясняет следующее. Право</w:t>
      </w:r>
      <w:r>
        <w:t xml:space="preserve">вой основой настоящих разъяснений являются положения Федерального </w:t>
      </w:r>
      <w:hyperlink r:id="rId6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закона</w:t>
        </w:r>
      </w:hyperlink>
      <w:r>
        <w:t xml:space="preserve"> от 22.07.2008 N 123-ФЗ "Технический регламент о требованиях пожарной безопасности" (далее - Технический регламент).</w:t>
      </w:r>
    </w:p>
    <w:p w14:paraId="5FB37E5C" w14:textId="77777777" w:rsidR="00F94ACD" w:rsidRDefault="001770B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7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частью 3 статьи 4</w:t>
        </w:r>
      </w:hyperlink>
      <w:r>
        <w:t xml:space="preserve"> Технического регламента к нор</w:t>
      </w:r>
      <w:r>
        <w:t>мативным документам по пожарной безопасности относятся, в том числе СТО.</w:t>
      </w:r>
    </w:p>
    <w:p w14:paraId="0403812B" w14:textId="77777777" w:rsidR="00F94ACD" w:rsidRDefault="001770B0">
      <w:pPr>
        <w:pStyle w:val="ConsPlusNormal"/>
        <w:spacing w:before="240"/>
        <w:ind w:firstLine="540"/>
        <w:jc w:val="both"/>
      </w:pPr>
      <w:r>
        <w:t xml:space="preserve">В силу </w:t>
      </w:r>
      <w:hyperlink r:id="rId8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пункта 4 части 1 статьи 6</w:t>
        </w:r>
      </w:hyperlink>
      <w:r>
        <w:t xml:space="preserve"> Технического регламента пожарная безопасность объекта защиты может считаться обеспеченной в том числе в случае выполнения требований пожарно</w:t>
      </w:r>
      <w:r>
        <w:t>й безопасности, содержащихся в СТО, согласован</w:t>
      </w:r>
      <w:bookmarkStart w:id="0" w:name="_GoBack"/>
      <w:bookmarkEnd w:id="0"/>
      <w:r>
        <w:t>ном в установленном порядке.</w:t>
      </w:r>
    </w:p>
    <w:p w14:paraId="157EF7C2" w14:textId="77777777" w:rsidR="00F94ACD" w:rsidRDefault="001770B0">
      <w:pPr>
        <w:pStyle w:val="ConsPlusNormal"/>
        <w:spacing w:before="240"/>
        <w:ind w:firstLine="540"/>
        <w:jc w:val="both"/>
      </w:pPr>
      <w:r>
        <w:t xml:space="preserve">Таким образом, только СТО, согласованные в соответствии с </w:t>
      </w:r>
      <w:hyperlink r:id="rId9" w:tooltip="Приказ МЧС России от 15.11.2022 N 1161 &quot;Об утверждении Порядка согласования стандартов организаций, содержащих требования пожарной безопасности&quot; (Зарегистрировано в Минюсте России 30.11.2022 N 71259) {КонсультантПлюс}">
        <w:r>
          <w:rPr>
            <w:color w:val="0000FF"/>
          </w:rPr>
          <w:t>Порядком</w:t>
        </w:r>
      </w:hyperlink>
      <w:r>
        <w:t xml:space="preserve"> согласования стандарто</w:t>
      </w:r>
      <w:r>
        <w:t>в организаций, содержащих требования пожарной безопасности, утвержденным приказом МЧС России от 15.11.2022 N 1161 (далее - Порядок), относятся к нормативным документам по пожарной безопасности.</w:t>
      </w:r>
    </w:p>
    <w:p w14:paraId="42F39C9A" w14:textId="77777777" w:rsidR="00F94ACD" w:rsidRDefault="001770B0">
      <w:pPr>
        <w:pStyle w:val="ConsPlusNormal"/>
        <w:spacing w:before="240"/>
        <w:ind w:firstLine="540"/>
        <w:jc w:val="both"/>
      </w:pPr>
      <w:r>
        <w:t>Заключения технических комитетов по стандартизации, экспертных</w:t>
      </w:r>
      <w:r>
        <w:t xml:space="preserve"> организаций, научных и образовательных учреждений, в том числе ТК 274 "Пожарная безопасность", могут прилагаться к материалам по СТО в соответствии с </w:t>
      </w:r>
      <w:hyperlink r:id="rId10" w:tooltip="Приказ МЧС России от 15.11.2022 N 1161 &quot;Об утверждении Порядка согласования стандартов организаций, содержащих требования пожарной безопасности&quot; (Зарегистрировано в Минюсте России 30.11.2022 N 71259) {КонсультантПлюс}">
        <w:r>
          <w:rPr>
            <w:color w:val="0000FF"/>
          </w:rPr>
          <w:t>пунктом 2.3</w:t>
        </w:r>
      </w:hyperlink>
      <w:r>
        <w:t xml:space="preserve"> П</w:t>
      </w:r>
      <w:r>
        <w:t>орядка, однако они не подменяют решение МЧС России о согласовании стандарта и не являются самостоятельным условием признания объекта защиты соответствующим требованиям пожарной безопасности.</w:t>
      </w:r>
    </w:p>
    <w:p w14:paraId="16CB9298" w14:textId="77777777" w:rsidR="00F94ACD" w:rsidRDefault="001770B0">
      <w:pPr>
        <w:pStyle w:val="ConsPlusNormal"/>
        <w:spacing w:before="240"/>
        <w:ind w:firstLine="540"/>
        <w:jc w:val="both"/>
      </w:pPr>
      <w:r>
        <w:t>Разработка и согласование СТО по пожарной безопасности целесообра</w:t>
      </w:r>
      <w:r>
        <w:t>зны, в частности, в следующих случаях:</w:t>
      </w:r>
    </w:p>
    <w:p w14:paraId="1AC3921C" w14:textId="77777777" w:rsidR="00F94ACD" w:rsidRDefault="001770B0">
      <w:pPr>
        <w:pStyle w:val="ConsPlusNormal"/>
        <w:spacing w:before="240"/>
        <w:ind w:firstLine="540"/>
        <w:jc w:val="both"/>
      </w:pPr>
      <w:r>
        <w:t>использование новых или нестандартных средств обеспечения пожарной безопасности и пожаротушения, в отношении которых отсутствуют требования пожарной безопасности по применению и проектированию;</w:t>
      </w:r>
    </w:p>
    <w:p w14:paraId="5BC8FB2F" w14:textId="77777777" w:rsidR="00F94ACD" w:rsidRDefault="001770B0">
      <w:pPr>
        <w:pStyle w:val="ConsPlusNormal"/>
        <w:spacing w:before="240"/>
        <w:ind w:firstLine="540"/>
        <w:jc w:val="both"/>
      </w:pPr>
      <w:r>
        <w:t>систематизация и формал</w:t>
      </w:r>
      <w:r>
        <w:t>изация требований пожарной безопасности внутри организации.</w:t>
      </w:r>
    </w:p>
    <w:p w14:paraId="4859310F" w14:textId="77777777" w:rsidR="00F94ACD" w:rsidRDefault="001770B0">
      <w:pPr>
        <w:pStyle w:val="ConsPlusNormal"/>
        <w:spacing w:before="240"/>
        <w:ind w:firstLine="540"/>
        <w:jc w:val="both"/>
      </w:pPr>
      <w:r>
        <w:t xml:space="preserve">При этом выбор способа обеспечения пожарной безопасности зданий и сооружений остается за их правообладателями в рамках требований </w:t>
      </w:r>
      <w:hyperlink r:id="rId11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статьи 6</w:t>
        </w:r>
      </w:hyperlink>
      <w:r>
        <w:t xml:space="preserve"> Технического регламента.</w:t>
      </w:r>
    </w:p>
    <w:p w14:paraId="20BBF760" w14:textId="77777777" w:rsidR="00F94ACD" w:rsidRDefault="001770B0">
      <w:pPr>
        <w:pStyle w:val="ConsPlusNormal"/>
        <w:spacing w:before="240"/>
        <w:ind w:firstLine="540"/>
        <w:jc w:val="both"/>
      </w:pPr>
      <w:r>
        <w:t>Согласование СТО о</w:t>
      </w:r>
      <w:r>
        <w:t xml:space="preserve">существляется главным государственным инспектором Российской </w:t>
      </w:r>
      <w:r>
        <w:lastRenderedPageBreak/>
        <w:t>Федерации по пожарному надзору или одним из его заместителей на основании решения комиссии, сформированной МЧС России.</w:t>
      </w:r>
    </w:p>
    <w:p w14:paraId="660DD911" w14:textId="77777777" w:rsidR="00F94ACD" w:rsidRDefault="001770B0">
      <w:pPr>
        <w:pStyle w:val="ConsPlusNormal"/>
        <w:spacing w:before="240"/>
        <w:ind w:firstLine="540"/>
        <w:jc w:val="both"/>
      </w:pPr>
      <w:r>
        <w:t>Для согласования СТО заявитель представляет в МЧС России:</w:t>
      </w:r>
    </w:p>
    <w:p w14:paraId="3C4D4E0C" w14:textId="77777777" w:rsidR="00F94ACD" w:rsidRDefault="001770B0">
      <w:pPr>
        <w:pStyle w:val="ConsPlusNormal"/>
        <w:spacing w:before="240"/>
        <w:ind w:firstLine="540"/>
        <w:jc w:val="both"/>
      </w:pPr>
      <w:r>
        <w:t>заявление;</w:t>
      </w:r>
    </w:p>
    <w:p w14:paraId="7CB7F946" w14:textId="77777777" w:rsidR="00F94ACD" w:rsidRDefault="001770B0">
      <w:pPr>
        <w:pStyle w:val="ConsPlusNormal"/>
        <w:spacing w:before="240"/>
        <w:ind w:firstLine="540"/>
        <w:jc w:val="both"/>
      </w:pPr>
      <w:r>
        <w:t>текст С</w:t>
      </w:r>
      <w:r>
        <w:t>ТО;</w:t>
      </w:r>
    </w:p>
    <w:p w14:paraId="38E2E73E" w14:textId="77777777" w:rsidR="00F94ACD" w:rsidRDefault="001770B0">
      <w:pPr>
        <w:pStyle w:val="ConsPlusNormal"/>
        <w:spacing w:before="240"/>
        <w:ind w:firstLine="540"/>
        <w:jc w:val="both"/>
      </w:pPr>
      <w:r>
        <w:t>пояснительную записку.</w:t>
      </w:r>
    </w:p>
    <w:p w14:paraId="73CE1641" w14:textId="77777777" w:rsidR="00F94ACD" w:rsidRDefault="001770B0">
      <w:pPr>
        <w:pStyle w:val="ConsPlusNormal"/>
        <w:spacing w:before="240"/>
        <w:ind w:firstLine="540"/>
        <w:jc w:val="both"/>
      </w:pPr>
      <w:r>
        <w:t>Для СТО, разработанных на средства обеспечения пожарной безопасности и пожаротушения, характеристики и (или) область применения которых не установлены действующими нормативными документами по пожарной безопасности, дополнительно представляются материалы, у</w:t>
      </w:r>
      <w:r>
        <w:t xml:space="preserve">казанные в </w:t>
      </w:r>
      <w:hyperlink r:id="rId12" w:tooltip="Приказ МЧС России от 15.11.2022 N 1161 &quot;Об утверждении Порядка согласования стандартов организаций, содержащих требования пожарной безопасности&quot; (Зарегистрировано в Минюсте России 30.11.2022 N 71259) {КонсультантПлюс}">
        <w:r>
          <w:rPr>
            <w:color w:val="0000FF"/>
          </w:rPr>
          <w:t>пункте 2.4</w:t>
        </w:r>
      </w:hyperlink>
      <w:r>
        <w:t xml:space="preserve"> Порядка, в том числе видеоматериалы проведения испытаний, обеспечивающие непрерывную фиксацию всего процесса испытаний от начала (включая подг</w:t>
      </w:r>
      <w:r>
        <w:t>отовку) до окончания, с демонстрацией основных результатов.</w:t>
      </w:r>
    </w:p>
    <w:p w14:paraId="4438A88F" w14:textId="77777777" w:rsidR="00F94ACD" w:rsidRDefault="001770B0">
      <w:pPr>
        <w:pStyle w:val="ConsPlusNormal"/>
        <w:spacing w:before="240"/>
        <w:ind w:firstLine="540"/>
        <w:jc w:val="both"/>
      </w:pPr>
      <w:r>
        <w:t>Рассмотрение СТО осуществляется комиссией в срок до 30 рабочих дней со дня поступления документов (с возможным увеличением срока при направлении материалов на научно-техническое заключение). По ре</w:t>
      </w:r>
      <w:r>
        <w:t>зультатам рассмотрения комиссия принимает решение о возможности или невозможности согласования СТО.</w:t>
      </w:r>
    </w:p>
    <w:p w14:paraId="4CA753FC" w14:textId="77777777" w:rsidR="00F94ACD" w:rsidRDefault="001770B0">
      <w:pPr>
        <w:pStyle w:val="ConsPlusNormal"/>
        <w:spacing w:before="240"/>
        <w:ind w:firstLine="540"/>
        <w:jc w:val="both"/>
      </w:pPr>
      <w:hyperlink r:id="rId13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Часть 4 статьи 4</w:t>
        </w:r>
      </w:hyperlink>
      <w:r>
        <w:t xml:space="preserve"> Технического регламента устанавливает специальный порядок применения новых (более высоких) требований пожарной безопасности к</w:t>
      </w:r>
      <w:r>
        <w:t xml:space="preserve"> существующим объектам защиты, введенным в эксплуатацию либо направленным на экспертизу до дня вступления в силу соответствующих положений Технического </w:t>
      </w:r>
      <w:hyperlink r:id="rId14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регламента</w:t>
        </w:r>
      </w:hyperlink>
      <w:r>
        <w:t>. В отношении таких объектов допускается применение ранее действовавших требований пожарной безопасно</w:t>
      </w:r>
      <w:r>
        <w:t>сти.</w:t>
      </w:r>
    </w:p>
    <w:p w14:paraId="4A4DC2D0" w14:textId="77777777" w:rsidR="00F94ACD" w:rsidRDefault="001770B0">
      <w:pPr>
        <w:pStyle w:val="ConsPlusNormal"/>
        <w:spacing w:before="240"/>
        <w:ind w:firstLine="540"/>
        <w:jc w:val="both"/>
      </w:pPr>
      <w:r>
        <w:t>В целях правильного толкования указанной нормы разъясняется, что:</w:t>
      </w:r>
    </w:p>
    <w:p w14:paraId="24377E5B" w14:textId="77777777" w:rsidR="00F94ACD" w:rsidRDefault="001770B0">
      <w:pPr>
        <w:pStyle w:val="ConsPlusNormal"/>
        <w:spacing w:before="240"/>
        <w:ind w:firstLine="540"/>
        <w:jc w:val="both"/>
      </w:pPr>
      <w:r>
        <w:t>СТО, согласованные в установленном порядке в период действия положений нормативных правовых актов и нормативных документов по пожарной безопасности, впоследствии утративших силу, продолжают применяться исключительно в объеме принятых проектных решений в от</w:t>
      </w:r>
      <w:r>
        <w:t>ношении объектов защиты, для которых они были использованы при проектировании, строительстве и вводе в эксплуатацию;</w:t>
      </w:r>
    </w:p>
    <w:p w14:paraId="7FF725E6" w14:textId="77777777" w:rsidR="00F94ACD" w:rsidRDefault="001770B0">
      <w:pPr>
        <w:pStyle w:val="ConsPlusNormal"/>
        <w:spacing w:before="240"/>
        <w:ind w:firstLine="540"/>
        <w:jc w:val="both"/>
      </w:pPr>
      <w:r>
        <w:t>в отношении вновь проектируемых объектов защиты СТО должны соответствовать действующим на момент их разработки и согласования нормативным п</w:t>
      </w:r>
      <w:r>
        <w:t>равовым актам и нормативным документам по пожарной безопасности.</w:t>
      </w:r>
    </w:p>
    <w:p w14:paraId="4775D547" w14:textId="77777777" w:rsidR="00F94ACD" w:rsidRDefault="001770B0">
      <w:pPr>
        <w:pStyle w:val="ConsPlusNormal"/>
        <w:spacing w:before="240"/>
        <w:ind w:firstLine="540"/>
        <w:jc w:val="both"/>
      </w:pPr>
      <w:r>
        <w:t>При корректировке согласованного СТО, связанного со средствами обеспечения пожарной безопасности и пожаротушения, следует различать два принципиально различных случая.</w:t>
      </w:r>
    </w:p>
    <w:p w14:paraId="0E83CDDA" w14:textId="77777777" w:rsidR="00F94ACD" w:rsidRDefault="001770B0">
      <w:pPr>
        <w:pStyle w:val="ConsPlusNormal"/>
        <w:spacing w:before="240"/>
        <w:ind w:firstLine="540"/>
        <w:jc w:val="both"/>
      </w:pPr>
      <w:r>
        <w:t>1. Корректировка СТО бе</w:t>
      </w:r>
      <w:r>
        <w:t>з изменения основных параметров и характеристик указанных средств, не влияющих на принятые технические решения и эффективность их применения, включая замену ссылок на актуализированные нормативные правовые акты и нормативные документы по пожарной безопасно</w:t>
      </w:r>
      <w:r>
        <w:t>сти, уточнение терминологии и иные редакционные правки.</w:t>
      </w:r>
    </w:p>
    <w:p w14:paraId="717CDB7D" w14:textId="77777777" w:rsidR="00F94ACD" w:rsidRDefault="001770B0">
      <w:pPr>
        <w:pStyle w:val="ConsPlusNormal"/>
        <w:spacing w:before="240"/>
        <w:ind w:firstLine="540"/>
        <w:jc w:val="both"/>
      </w:pPr>
      <w:r>
        <w:t>В этом случае при повторном согласовании СТО допускается использовать ранее представленные протоколы испытаний и материалы видеофиксации при условии, что применяемые методики испытаний остаются сопост</w:t>
      </w:r>
      <w:r>
        <w:t xml:space="preserve">авимыми с действующими требованиями </w:t>
      </w:r>
      <w:r>
        <w:lastRenderedPageBreak/>
        <w:t>пожарной безопасности.</w:t>
      </w:r>
    </w:p>
    <w:p w14:paraId="5DFD4C8F" w14:textId="77777777" w:rsidR="00F94ACD" w:rsidRDefault="001770B0">
      <w:pPr>
        <w:pStyle w:val="ConsPlusNormal"/>
        <w:spacing w:before="240"/>
        <w:ind w:firstLine="540"/>
        <w:jc w:val="both"/>
      </w:pPr>
      <w:r>
        <w:t>2. В случаях изменения основных параметров и характеристик средств обеспечения пожарной безопасности и пожаротушения, например изменение расхода огнетушащего вещества, схемы размещения оборудования</w:t>
      </w:r>
      <w:r>
        <w:t>, состава или характеристик применяемых материалов и иных параметров, влияющих на эффективность применения указанных средств, требуется представление новых протоколов испытаний и видеоматериалов, подтверждающих эффективность решений в условиях действия акт</w:t>
      </w:r>
      <w:r>
        <w:t>уализированных требований пожарной безопасности.</w:t>
      </w:r>
    </w:p>
    <w:p w14:paraId="596EF76B" w14:textId="77777777" w:rsidR="00F94ACD" w:rsidRDefault="001770B0">
      <w:pPr>
        <w:pStyle w:val="ConsPlusNormal"/>
        <w:spacing w:before="240"/>
        <w:ind w:firstLine="540"/>
        <w:jc w:val="both"/>
      </w:pPr>
      <w:r>
        <w:t>Особо отмечается, что снижение требований пожарной безопасности с помощью СТО недопустимо.</w:t>
      </w:r>
    </w:p>
    <w:p w14:paraId="1116AC2D" w14:textId="77777777" w:rsidR="00F94ACD" w:rsidRDefault="001770B0">
      <w:pPr>
        <w:pStyle w:val="ConsPlusNormal"/>
        <w:spacing w:before="240"/>
        <w:ind w:firstLine="540"/>
        <w:jc w:val="both"/>
      </w:pPr>
      <w:r>
        <w:t>При разработке СТО его положения должны быть направлены на обеспечение не ниже, а, как правило, выше уровня противоп</w:t>
      </w:r>
      <w:r>
        <w:t>ожарной защиты по сравнению с минимальным, установленным действующими нормативными правовыми актами и нормативными документами по пожарной безопасности. При этом СТО не должен содержать правовых норм.</w:t>
      </w:r>
    </w:p>
    <w:p w14:paraId="2DD7E7D5" w14:textId="77777777" w:rsidR="00F94ACD" w:rsidRDefault="001770B0">
      <w:pPr>
        <w:pStyle w:val="ConsPlusNormal"/>
        <w:spacing w:before="240"/>
        <w:ind w:firstLine="540"/>
        <w:jc w:val="both"/>
      </w:pPr>
      <w:r>
        <w:t>При принятии решения о разработке и применении СТО хозя</w:t>
      </w:r>
      <w:r>
        <w:t>йствующим субъектам рекомендуется:</w:t>
      </w:r>
    </w:p>
    <w:p w14:paraId="4EE593AB" w14:textId="77777777" w:rsidR="00F94ACD" w:rsidRDefault="001770B0">
      <w:pPr>
        <w:pStyle w:val="ConsPlusNormal"/>
        <w:spacing w:before="240"/>
        <w:ind w:firstLine="540"/>
        <w:jc w:val="both"/>
      </w:pPr>
      <w:r>
        <w:t>на стадии подготовки технического задания четко определить цель разработки СТО, круг объектов и (или) средств обеспечения пожарной безопасности и пожаротушения, на которые он будет распространяться;</w:t>
      </w:r>
    </w:p>
    <w:p w14:paraId="585EF74A" w14:textId="77777777" w:rsidR="00F94ACD" w:rsidRDefault="001770B0">
      <w:pPr>
        <w:pStyle w:val="ConsPlusNormal"/>
        <w:spacing w:before="240"/>
        <w:ind w:firstLine="540"/>
        <w:jc w:val="both"/>
      </w:pPr>
      <w:r>
        <w:t>обеспечить прямое соот</w:t>
      </w:r>
      <w:r>
        <w:t xml:space="preserve">несение (прослеживаемость) всех требований СТО с положениями Технического </w:t>
      </w:r>
      <w:hyperlink r:id="rId15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регламента</w:t>
        </w:r>
      </w:hyperlink>
      <w:r>
        <w:t>, иных нормативных правовых актов и нормативных документов по пожарной безопасности;</w:t>
      </w:r>
    </w:p>
    <w:p w14:paraId="4E41A880" w14:textId="77777777" w:rsidR="00F94ACD" w:rsidRDefault="001770B0">
      <w:pPr>
        <w:pStyle w:val="ConsPlusNormal"/>
        <w:spacing w:before="240"/>
        <w:ind w:firstLine="540"/>
        <w:jc w:val="both"/>
      </w:pPr>
      <w:r>
        <w:t>при наличии отступлений однозначно фиксировать их перечень с указанием конкретных пунктов норм</w:t>
      </w:r>
      <w:r>
        <w:t>ативных документов по пожарной безопасности, от которых осуществляется отступление.</w:t>
      </w:r>
    </w:p>
    <w:p w14:paraId="47EA0F71" w14:textId="77777777" w:rsidR="00F94ACD" w:rsidRDefault="001770B0">
      <w:pPr>
        <w:pStyle w:val="ConsPlusNormal"/>
        <w:spacing w:before="240"/>
        <w:ind w:firstLine="540"/>
        <w:jc w:val="both"/>
      </w:pPr>
      <w:r>
        <w:t>Соблюдение изложенного подхода позволяет:</w:t>
      </w:r>
    </w:p>
    <w:p w14:paraId="795F2CD3" w14:textId="77777777" w:rsidR="00F94ACD" w:rsidRDefault="001770B0">
      <w:pPr>
        <w:pStyle w:val="ConsPlusNormal"/>
        <w:spacing w:before="240"/>
        <w:ind w:firstLine="540"/>
        <w:jc w:val="both"/>
      </w:pPr>
      <w:r>
        <w:t>использовать СТО как законный элемент системы обеспечения пожарной безопасности объекта защиты;</w:t>
      </w:r>
    </w:p>
    <w:p w14:paraId="5347A57E" w14:textId="77777777" w:rsidR="00F94ACD" w:rsidRDefault="001770B0">
      <w:pPr>
        <w:pStyle w:val="ConsPlusNormal"/>
        <w:spacing w:before="240"/>
        <w:ind w:firstLine="540"/>
        <w:jc w:val="both"/>
      </w:pPr>
      <w:r>
        <w:t>обеспечить единообразие технически</w:t>
      </w:r>
      <w:r>
        <w:t>х решений и организационных мероприятий по пожарной безопасности в деятельности хозяйствующих субъектов.</w:t>
      </w:r>
    </w:p>
    <w:p w14:paraId="7EA4C2F0" w14:textId="77777777" w:rsidR="00F94ACD" w:rsidRDefault="001770B0">
      <w:pPr>
        <w:pStyle w:val="ConsPlusNormal"/>
        <w:spacing w:before="240"/>
        <w:ind w:firstLine="540"/>
        <w:jc w:val="both"/>
      </w:pPr>
      <w:r>
        <w:t xml:space="preserve">Информационное </w:t>
      </w:r>
      <w:hyperlink r:id="rId16" w:tooltip="&lt;Письмо&gt; МЧС России от 20.08.2024 N 43-5154-19 &quot;О соблюдении законодательства Российской Федерации&quot; ------------ Утратил силу или отменен {КонсультантПлюс}">
        <w:r>
          <w:rPr>
            <w:color w:val="0000FF"/>
          </w:rPr>
          <w:t>письмо</w:t>
        </w:r>
      </w:hyperlink>
      <w:r>
        <w:t xml:space="preserve"> МЧС России от 20.08.2024 N 43-5154-19 признать утратившим силу.</w:t>
      </w:r>
    </w:p>
    <w:p w14:paraId="11D76E2C" w14:textId="77777777" w:rsidR="00F94ACD" w:rsidRDefault="00F94ACD">
      <w:pPr>
        <w:pStyle w:val="ConsPlusNormal"/>
        <w:ind w:firstLine="540"/>
        <w:jc w:val="both"/>
      </w:pPr>
    </w:p>
    <w:p w14:paraId="10AA4090" w14:textId="77777777" w:rsidR="00F94ACD" w:rsidRDefault="001770B0">
      <w:pPr>
        <w:pStyle w:val="ConsPlusNormal"/>
        <w:jc w:val="right"/>
      </w:pPr>
      <w:r>
        <w:t>А.М.СУПРУНОВСКИЙ</w:t>
      </w:r>
    </w:p>
    <w:p w14:paraId="6E7B9F17" w14:textId="77777777" w:rsidR="00F94ACD" w:rsidRDefault="00F94ACD">
      <w:pPr>
        <w:pStyle w:val="ConsPlusNormal"/>
        <w:jc w:val="both"/>
      </w:pPr>
    </w:p>
    <w:p w14:paraId="179319D6" w14:textId="77777777" w:rsidR="00F94ACD" w:rsidRDefault="00F94ACD">
      <w:pPr>
        <w:pStyle w:val="ConsPlusNormal"/>
        <w:jc w:val="both"/>
      </w:pPr>
    </w:p>
    <w:p w14:paraId="0152F08D" w14:textId="77777777" w:rsidR="00F94ACD" w:rsidRDefault="00F94AC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94ACD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1391D" w14:textId="77777777" w:rsidR="001770B0" w:rsidRDefault="001770B0">
      <w:r>
        <w:separator/>
      </w:r>
    </w:p>
  </w:endnote>
  <w:endnote w:type="continuationSeparator" w:id="0">
    <w:p w14:paraId="58E325F1" w14:textId="77777777" w:rsidR="001770B0" w:rsidRDefault="0017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1FED9" w14:textId="77777777" w:rsidR="001770B0" w:rsidRDefault="001770B0">
      <w:r>
        <w:separator/>
      </w:r>
    </w:p>
  </w:footnote>
  <w:footnote w:type="continuationSeparator" w:id="0">
    <w:p w14:paraId="12DEBF6A" w14:textId="77777777" w:rsidR="001770B0" w:rsidRDefault="00177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ACD"/>
    <w:rsid w:val="001770B0"/>
    <w:rsid w:val="00613C7D"/>
    <w:rsid w:val="00F9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21E51"/>
  <w15:docId w15:val="{B6B9F94F-6B1C-4EB4-ABC8-07D65F43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613C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C7D"/>
  </w:style>
  <w:style w:type="paragraph" w:styleId="a5">
    <w:name w:val="footer"/>
    <w:basedOn w:val="a"/>
    <w:link w:val="a6"/>
    <w:uiPriority w:val="99"/>
    <w:unhideWhenUsed/>
    <w:rsid w:val="00613C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75&amp;date=10.01.2026&amp;dst=63&amp;field=134&amp;demo=2" TargetMode="External"/><Relationship Id="rId13" Type="http://schemas.openxmlformats.org/officeDocument/2006/relationships/hyperlink" Target="https://login.consultant.ru/link/?req=doc&amp;base=LAW&amp;n=465775&amp;date=10.01.2026&amp;dst=101949&amp;field=134&amp;demo=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5775&amp;date=10.01.2026&amp;dst=58&amp;field=134&amp;demo=2" TargetMode="External"/><Relationship Id="rId12" Type="http://schemas.openxmlformats.org/officeDocument/2006/relationships/hyperlink" Target="https://login.consultant.ru/link/?req=doc&amp;base=LAW&amp;n=432867&amp;date=10.01.2026&amp;dst=100031&amp;field=134&amp;demo=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4717&amp;date=10.01.2026&amp;demo=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775&amp;date=10.01.2026&amp;demo=2" TargetMode="External"/><Relationship Id="rId11" Type="http://schemas.openxmlformats.org/officeDocument/2006/relationships/hyperlink" Target="https://login.consultant.ru/link/?req=doc&amp;base=LAW&amp;n=465775&amp;date=10.01.2026&amp;dst=100085&amp;field=134&amp;demo=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65775&amp;date=10.01.2026&amp;demo=2" TargetMode="External"/><Relationship Id="rId10" Type="http://schemas.openxmlformats.org/officeDocument/2006/relationships/hyperlink" Target="https://login.consultant.ru/link/?req=doc&amp;base=LAW&amp;n=432867&amp;date=10.01.2026&amp;dst=100022&amp;field=134&amp;demo=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32867&amp;date=10.01.2026&amp;dst=100013&amp;field=134&amp;demo=2" TargetMode="External"/><Relationship Id="rId14" Type="http://schemas.openxmlformats.org/officeDocument/2006/relationships/hyperlink" Target="https://login.consultant.ru/link/?req=doc&amp;base=LAW&amp;n=465775&amp;date=10.01.2026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1565</Words>
  <Characters>8927</Characters>
  <Application>Microsoft Office Word</Application>
  <DocSecurity>0</DocSecurity>
  <Lines>74</Lines>
  <Paragraphs>20</Paragraphs>
  <ScaleCrop>false</ScaleCrop>
  <Company>КонсультантПлюс Версия 4025.00.30</Company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МЧС России от 24.12.2025 N 43-8040-19
"О стандартах организаций, содержащих требования пожарной безопасности"</dc:title>
  <cp:lastModifiedBy>ZAQW</cp:lastModifiedBy>
  <cp:revision>2</cp:revision>
  <dcterms:created xsi:type="dcterms:W3CDTF">2026-01-10T10:16:00Z</dcterms:created>
  <dcterms:modified xsi:type="dcterms:W3CDTF">2026-01-10T10:19:00Z</dcterms:modified>
</cp:coreProperties>
</file>